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D7F1A" w:rsidRDefault="00136824">
      <w:r>
        <w:rPr>
          <w:noProof/>
        </w:rPr>
        <w:drawing>
          <wp:anchor distT="0" distB="0" distL="114300" distR="114300" simplePos="0" relativeHeight="251658240" behindDoc="0" locked="0" layoutInCell="1" hidden="0" allowOverlap="1">
            <wp:simplePos x="0" y="0"/>
            <wp:positionH relativeFrom="column">
              <wp:posOffset>5</wp:posOffset>
            </wp:positionH>
            <wp:positionV relativeFrom="paragraph">
              <wp:posOffset>0</wp:posOffset>
            </wp:positionV>
            <wp:extent cx="1187450" cy="850900"/>
            <wp:effectExtent l="0" t="0" r="0" b="0"/>
            <wp:wrapSquare wrapText="bothSides" distT="0" distB="0" distL="114300" distR="114300"/>
            <wp:docPr id="32" name="image1.png" descr="CCS_2935_SML_AW"/>
            <wp:cNvGraphicFramePr/>
            <a:graphic xmlns:a="http://schemas.openxmlformats.org/drawingml/2006/main">
              <a:graphicData uri="http://schemas.openxmlformats.org/drawingml/2006/picture">
                <pic:pic xmlns:pic="http://schemas.openxmlformats.org/drawingml/2006/picture">
                  <pic:nvPicPr>
                    <pic:cNvPr id="0" name="image1.png" descr="CCS_2935_SML_AW"/>
                    <pic:cNvPicPr preferRelativeResize="0"/>
                  </pic:nvPicPr>
                  <pic:blipFill>
                    <a:blip r:embed="rId8"/>
                    <a:srcRect/>
                    <a:stretch>
                      <a:fillRect/>
                    </a:stretch>
                  </pic:blipFill>
                  <pic:spPr>
                    <a:xfrm>
                      <a:off x="0" y="0"/>
                      <a:ext cx="1187450" cy="850900"/>
                    </a:xfrm>
                    <a:prstGeom prst="rect">
                      <a:avLst/>
                    </a:prstGeom>
                    <a:ln/>
                  </pic:spPr>
                </pic:pic>
              </a:graphicData>
            </a:graphic>
          </wp:anchor>
        </w:drawing>
      </w:r>
    </w:p>
    <w:p w:rsidR="00AD7F1A" w:rsidRDefault="00AD7F1A"/>
    <w:p w:rsidR="00AD7F1A" w:rsidRDefault="00AD7F1A"/>
    <w:p w:rsidR="00AD7F1A" w:rsidRDefault="00AD7F1A"/>
    <w:p w:rsidR="00AD7F1A" w:rsidRDefault="00136824">
      <w:r>
        <w:tab/>
      </w:r>
    </w:p>
    <w:p w:rsidR="00AD7F1A" w:rsidRDefault="00136824">
      <w:pPr>
        <w:jc w:val="center"/>
        <w:rPr>
          <w:color w:val="4F81BD"/>
          <w:sz w:val="56"/>
          <w:szCs w:val="56"/>
        </w:rPr>
      </w:pPr>
      <w:bookmarkStart w:id="0" w:name="_heading=h.gjdgxs" w:colFirst="0" w:colLast="0"/>
      <w:bookmarkEnd w:id="0"/>
      <w:r>
        <w:rPr>
          <w:color w:val="4F81BD"/>
          <w:sz w:val="56"/>
          <w:szCs w:val="56"/>
        </w:rPr>
        <w:t>Buyer Needs</w:t>
      </w:r>
    </w:p>
    <w:p w:rsidR="00AD7F1A" w:rsidRDefault="00AD7F1A"/>
    <w:p w:rsidR="00AD7F1A" w:rsidRDefault="00136824">
      <w:pPr>
        <w:jc w:val="center"/>
        <w:rPr>
          <w:sz w:val="40"/>
          <w:szCs w:val="40"/>
        </w:rPr>
      </w:pPr>
      <w:r>
        <w:rPr>
          <w:sz w:val="40"/>
          <w:szCs w:val="40"/>
        </w:rPr>
        <w:t>RM3764iii Cyber Services 3</w:t>
      </w:r>
    </w:p>
    <w:p w:rsidR="00AD7F1A" w:rsidRDefault="00136824">
      <w:pPr>
        <w:jc w:val="center"/>
        <w:rPr>
          <w:sz w:val="40"/>
          <w:szCs w:val="40"/>
        </w:rPr>
      </w:pPr>
      <w:r>
        <w:rPr>
          <w:sz w:val="40"/>
          <w:szCs w:val="40"/>
        </w:rPr>
        <w:t xml:space="preserve"> Dynamic Purchasing System Agreement</w:t>
      </w:r>
    </w:p>
    <w:p w:rsidR="00AD7F1A" w:rsidRDefault="00AD7F1A"/>
    <w:p w:rsidR="00AD7F1A" w:rsidRDefault="00136824">
      <w:r>
        <w:rPr>
          <w:noProof/>
        </w:rPr>
        <mc:AlternateContent>
          <mc:Choice Requires="wpg">
            <w:drawing>
              <wp:inline distT="0" distB="0" distL="0" distR="0">
                <wp:extent cx="333375" cy="333375"/>
                <wp:effectExtent l="0" t="0" r="0" b="0"/>
                <wp:docPr id="31" name="Rectangle 31" descr="C:\Users\rachel.zabari\Documents\Cyber Security (RM3764)\Cyber iii\Website Comms\safety-concept-closed-padlock-on-600w-287395955.webp"/>
                <wp:cNvGraphicFramePr/>
                <a:graphic xmlns:a="http://schemas.openxmlformats.org/drawingml/2006/main">
                  <a:graphicData uri="http://schemas.microsoft.com/office/word/2010/wordprocessingShape">
                    <wps:wsp>
                      <wps:cNvSpPr/>
                      <wps:spPr>
                        <a:xfrm>
                          <a:off x="5193600" y="3627600"/>
                          <a:ext cx="304800" cy="304800"/>
                        </a:xfrm>
                        <a:prstGeom prst="rect">
                          <a:avLst/>
                        </a:prstGeom>
                        <a:noFill/>
                        <a:ln>
                          <a:noFill/>
                        </a:ln>
                      </wps:spPr>
                      <wps:txbx>
                        <w:txbxContent>
                          <w:p w:rsidR="00AD7F1A" w:rsidRDefault="00AD7F1A">
                            <w:pPr>
                              <w:spacing w:after="0" w:line="240" w:lineRule="auto"/>
                              <w:textDirection w:val="btLr"/>
                            </w:pPr>
                          </w:p>
                        </w:txbxContent>
                      </wps:txbx>
                      <wps:bodyPr spcFirstLastPara="1" wrap="square" lIns="91425" tIns="91425" rIns="91425" bIns="91425" anchor="ctr" anchorCtr="0">
                        <a:noAutofit/>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inline distB="0" distT="0" distL="0" distR="0">
                <wp:extent cx="333375" cy="333375"/>
                <wp:effectExtent b="0" l="0" r="0" t="0"/>
                <wp:docPr descr="C:\Users\rachel.zabari\Documents\Cyber Security (RM3764)\Cyber iii\Website Comms\safety-concept-closed-padlock-on-600w-287395955.webp" id="31" name="image4.png"/>
                <a:graphic>
                  <a:graphicData uri="http://schemas.openxmlformats.org/drawingml/2006/picture">
                    <pic:pic>
                      <pic:nvPicPr>
                        <pic:cNvPr descr="C:\Users\rachel.zabari\Documents\Cyber Security (RM3764)\Cyber iii\Website Comms\safety-concept-closed-padlock-on-600w-287395955.webp" id="0" name="image4.png"/>
                        <pic:cNvPicPr preferRelativeResize="0"/>
                      </pic:nvPicPr>
                      <pic:blipFill>
                        <a:blip r:embed="rId9"/>
                        <a:srcRect/>
                        <a:stretch>
                          <a:fillRect/>
                        </a:stretch>
                      </pic:blipFill>
                      <pic:spPr>
                        <a:xfrm>
                          <a:off x="0" y="0"/>
                          <a:ext cx="333375" cy="333375"/>
                        </a:xfrm>
                        <a:prstGeom prst="rect"/>
                        <a:ln/>
                      </pic:spPr>
                    </pic:pic>
                  </a:graphicData>
                </a:graphic>
              </wp:inline>
            </w:drawing>
          </mc:Fallback>
        </mc:AlternateContent>
      </w:r>
      <w:r>
        <w:rPr>
          <w:noProof/>
        </w:rPr>
        <w:drawing>
          <wp:inline distT="114300" distB="114300" distL="114300" distR="114300">
            <wp:extent cx="5329238" cy="3552825"/>
            <wp:effectExtent l="0" t="0" r="0" b="0"/>
            <wp:docPr id="3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5329238" cy="3552825"/>
                    </a:xfrm>
                    <a:prstGeom prst="rect">
                      <a:avLst/>
                    </a:prstGeom>
                    <a:ln/>
                  </pic:spPr>
                </pic:pic>
              </a:graphicData>
            </a:graphic>
          </wp:inline>
        </w:drawing>
      </w:r>
    </w:p>
    <w:p w:rsidR="00AD7F1A" w:rsidRDefault="00AD7F1A"/>
    <w:p w:rsidR="00AD7F1A" w:rsidRDefault="00136824">
      <w:r>
        <w:br w:type="page"/>
      </w:r>
    </w:p>
    <w:p w:rsidR="00AD7F1A" w:rsidRDefault="00136824">
      <w:pPr>
        <w:rPr>
          <w:b/>
        </w:rPr>
      </w:pPr>
      <w:r>
        <w:rPr>
          <w:b/>
        </w:rPr>
        <w:lastRenderedPageBreak/>
        <w:t>Contents</w:t>
      </w:r>
    </w:p>
    <w:p w:rsidR="00AD7F1A" w:rsidRDefault="00AD7F1A"/>
    <w:sdt>
      <w:sdtPr>
        <w:id w:val="-1137794616"/>
        <w:docPartObj>
          <w:docPartGallery w:val="Table of Contents"/>
          <w:docPartUnique/>
        </w:docPartObj>
      </w:sdtPr>
      <w:sdtEndPr/>
      <w:sdtContent>
        <w:p w:rsidR="00AD7F1A" w:rsidRDefault="00136824">
          <w:pPr>
            <w:pBdr>
              <w:top w:val="nil"/>
              <w:left w:val="nil"/>
              <w:bottom w:val="nil"/>
              <w:right w:val="nil"/>
              <w:between w:val="nil"/>
            </w:pBdr>
            <w:tabs>
              <w:tab w:val="left" w:pos="440"/>
              <w:tab w:val="right" w:pos="9350"/>
            </w:tabs>
            <w:spacing w:after="100"/>
            <w:rPr>
              <w:rFonts w:ascii="Cambria" w:eastAsia="Cambria" w:hAnsi="Cambria" w:cs="Cambria"/>
              <w:color w:val="000000"/>
              <w:sz w:val="22"/>
              <w:szCs w:val="22"/>
            </w:rPr>
          </w:pPr>
          <w:r>
            <w:fldChar w:fldCharType="begin"/>
          </w:r>
          <w:r>
            <w:instrText xml:space="preserve"> TOC \h \u \z \t "Heading 1,1,Heading 2,2,Heading 3,3,Heading 4,4,Heading 5,5,Heading 6,6,"</w:instrText>
          </w:r>
          <w:r>
            <w:fldChar w:fldCharType="separate"/>
          </w:r>
          <w:hyperlink w:anchor="_heading=h.4aj75wuj15ai">
            <w:r>
              <w:rPr>
                <w:b/>
                <w:color w:val="000000"/>
              </w:rPr>
              <w:t>1.</w:t>
            </w:r>
          </w:hyperlink>
          <w:hyperlink w:anchor="_heading=h.4aj75wuj15ai">
            <w:r>
              <w:rPr>
                <w:rFonts w:ascii="Cambria" w:eastAsia="Cambria" w:hAnsi="Cambria" w:cs="Cambria"/>
                <w:color w:val="000000"/>
                <w:sz w:val="22"/>
                <w:szCs w:val="22"/>
              </w:rPr>
              <w:tab/>
            </w:r>
          </w:hyperlink>
          <w:r>
            <w:fldChar w:fldCharType="begin"/>
          </w:r>
          <w:r>
            <w:instrText xml:space="preserve"> PAGEREF _heading=h.4aj75wuj15ai \h </w:instrText>
          </w:r>
          <w:r>
            <w:fldChar w:fldCharType="separate"/>
          </w:r>
          <w:r>
            <w:rPr>
              <w:b/>
              <w:color w:val="000000"/>
            </w:rPr>
            <w:t>Introduction</w:t>
          </w:r>
          <w:r>
            <w:rPr>
              <w:color w:val="000000"/>
            </w:rPr>
            <w:tab/>
            <w:t>3</w:t>
          </w:r>
          <w:r>
            <w:fldChar w:fldCharType="end"/>
          </w:r>
        </w:p>
        <w:p w:rsidR="00AD7F1A" w:rsidRDefault="00E46AAB">
          <w:pPr>
            <w:pBdr>
              <w:top w:val="nil"/>
              <w:left w:val="nil"/>
              <w:bottom w:val="nil"/>
              <w:right w:val="nil"/>
              <w:between w:val="nil"/>
            </w:pBdr>
            <w:tabs>
              <w:tab w:val="left" w:pos="426"/>
              <w:tab w:val="right" w:pos="9350"/>
            </w:tabs>
            <w:spacing w:after="100"/>
            <w:rPr>
              <w:rFonts w:ascii="Cambria" w:eastAsia="Cambria" w:hAnsi="Cambria" w:cs="Cambria"/>
              <w:color w:val="000000"/>
              <w:sz w:val="22"/>
              <w:szCs w:val="22"/>
            </w:rPr>
          </w:pPr>
          <w:hyperlink w:anchor="_heading=h.14qvsx8gfnx0">
            <w:r w:rsidR="00136824">
              <w:rPr>
                <w:b/>
                <w:color w:val="000000"/>
              </w:rPr>
              <w:t xml:space="preserve">1.1 </w:t>
            </w:r>
          </w:hyperlink>
          <w:hyperlink w:anchor="_heading=h.14qvsx8gfnx0">
            <w:r w:rsidR="00136824">
              <w:rPr>
                <w:rFonts w:ascii="Cambria" w:eastAsia="Cambria" w:hAnsi="Cambria" w:cs="Cambria"/>
                <w:color w:val="000000"/>
                <w:sz w:val="22"/>
                <w:szCs w:val="22"/>
              </w:rPr>
              <w:tab/>
            </w:r>
          </w:hyperlink>
          <w:r w:rsidR="00136824">
            <w:fldChar w:fldCharType="begin"/>
          </w:r>
          <w:r w:rsidR="00136824">
            <w:instrText xml:space="preserve"> PAGEREF _heading=h.14qvsx8gfnx0 \h </w:instrText>
          </w:r>
          <w:r w:rsidR="00136824">
            <w:fldChar w:fldCharType="separate"/>
          </w:r>
          <w:r w:rsidR="00136824">
            <w:rPr>
              <w:b/>
              <w:color w:val="000000"/>
            </w:rPr>
            <w:t>Buyer Needs Statement</w:t>
          </w:r>
          <w:r w:rsidR="00136824">
            <w:rPr>
              <w:color w:val="000000"/>
            </w:rPr>
            <w:tab/>
            <w:t>3</w:t>
          </w:r>
          <w:r w:rsidR="00136824">
            <w:fldChar w:fldCharType="end"/>
          </w:r>
        </w:p>
        <w:p w:rsidR="00AD7F1A" w:rsidRDefault="00E46AAB">
          <w:pPr>
            <w:pBdr>
              <w:top w:val="nil"/>
              <w:left w:val="nil"/>
              <w:bottom w:val="nil"/>
              <w:right w:val="nil"/>
              <w:between w:val="nil"/>
            </w:pBdr>
            <w:tabs>
              <w:tab w:val="left" w:pos="426"/>
              <w:tab w:val="right" w:pos="9350"/>
            </w:tabs>
            <w:spacing w:after="100"/>
            <w:rPr>
              <w:rFonts w:ascii="Cambria" w:eastAsia="Cambria" w:hAnsi="Cambria" w:cs="Cambria"/>
              <w:color w:val="000000"/>
              <w:sz w:val="22"/>
              <w:szCs w:val="22"/>
            </w:rPr>
          </w:pPr>
          <w:hyperlink w:anchor="_heading=h.f24pw92zl3j9">
            <w:r w:rsidR="00136824">
              <w:rPr>
                <w:b/>
                <w:color w:val="000000"/>
              </w:rPr>
              <w:t xml:space="preserve">1.2 </w:t>
            </w:r>
          </w:hyperlink>
          <w:hyperlink w:anchor="_heading=h.f24pw92zl3j9">
            <w:r w:rsidR="00136824">
              <w:rPr>
                <w:rFonts w:ascii="Cambria" w:eastAsia="Cambria" w:hAnsi="Cambria" w:cs="Cambria"/>
                <w:color w:val="000000"/>
                <w:sz w:val="22"/>
                <w:szCs w:val="22"/>
              </w:rPr>
              <w:tab/>
            </w:r>
          </w:hyperlink>
          <w:r w:rsidR="00136824">
            <w:fldChar w:fldCharType="begin"/>
          </w:r>
          <w:r w:rsidR="00136824">
            <w:instrText xml:space="preserve"> PAGEREF _heading=h.f24pw92zl3j9 \h </w:instrText>
          </w:r>
          <w:r w:rsidR="00136824">
            <w:fldChar w:fldCharType="separate"/>
          </w:r>
          <w:r w:rsidR="00136824">
            <w:rPr>
              <w:b/>
              <w:color w:val="000000"/>
            </w:rPr>
            <w:t>The Opportunity</w:t>
          </w:r>
          <w:r w:rsidR="00136824">
            <w:rPr>
              <w:color w:val="000000"/>
            </w:rPr>
            <w:tab/>
            <w:t>3</w:t>
          </w:r>
          <w:r w:rsidR="00136824">
            <w:fldChar w:fldCharType="end"/>
          </w:r>
        </w:p>
        <w:p w:rsidR="00AD7F1A" w:rsidRDefault="00E46AAB">
          <w:pPr>
            <w:pBdr>
              <w:top w:val="nil"/>
              <w:left w:val="nil"/>
              <w:bottom w:val="nil"/>
              <w:right w:val="nil"/>
              <w:between w:val="nil"/>
            </w:pBdr>
            <w:tabs>
              <w:tab w:val="left" w:pos="426"/>
              <w:tab w:val="right" w:pos="9350"/>
            </w:tabs>
            <w:spacing w:after="100"/>
            <w:rPr>
              <w:rFonts w:ascii="Cambria" w:eastAsia="Cambria" w:hAnsi="Cambria" w:cs="Cambria"/>
              <w:color w:val="000000"/>
              <w:sz w:val="22"/>
              <w:szCs w:val="22"/>
            </w:rPr>
          </w:pPr>
          <w:hyperlink w:anchor="_heading=h.9f09sqm4v4hi">
            <w:r w:rsidR="00136824">
              <w:rPr>
                <w:b/>
                <w:color w:val="000000"/>
              </w:rPr>
              <w:t xml:space="preserve">1.3 </w:t>
            </w:r>
          </w:hyperlink>
          <w:hyperlink w:anchor="_heading=h.9f09sqm4v4hi">
            <w:r w:rsidR="00136824">
              <w:rPr>
                <w:rFonts w:ascii="Cambria" w:eastAsia="Cambria" w:hAnsi="Cambria" w:cs="Cambria"/>
                <w:color w:val="000000"/>
                <w:sz w:val="22"/>
                <w:szCs w:val="22"/>
              </w:rPr>
              <w:tab/>
            </w:r>
          </w:hyperlink>
          <w:r w:rsidR="00136824">
            <w:fldChar w:fldCharType="begin"/>
          </w:r>
          <w:r w:rsidR="00136824">
            <w:instrText xml:space="preserve"> PAGEREF _heading=h.9f09sqm4v4hi \h </w:instrText>
          </w:r>
          <w:r w:rsidR="00136824">
            <w:fldChar w:fldCharType="separate"/>
          </w:r>
          <w:r w:rsidR="00136824">
            <w:rPr>
              <w:b/>
              <w:color w:val="000000"/>
            </w:rPr>
            <w:t>The current situation</w:t>
          </w:r>
          <w:r w:rsidR="00136824">
            <w:rPr>
              <w:color w:val="000000"/>
            </w:rPr>
            <w:tab/>
            <w:t>6</w:t>
          </w:r>
          <w:r w:rsidR="00136824">
            <w:fldChar w:fldCharType="end"/>
          </w:r>
        </w:p>
        <w:p w:rsidR="00AD7F1A" w:rsidRDefault="00E46AAB">
          <w:pPr>
            <w:pBdr>
              <w:top w:val="nil"/>
              <w:left w:val="nil"/>
              <w:bottom w:val="nil"/>
              <w:right w:val="nil"/>
              <w:between w:val="nil"/>
            </w:pBdr>
            <w:tabs>
              <w:tab w:val="left" w:pos="440"/>
              <w:tab w:val="right" w:pos="9350"/>
            </w:tabs>
            <w:spacing w:after="100"/>
            <w:rPr>
              <w:rFonts w:ascii="Cambria" w:eastAsia="Cambria" w:hAnsi="Cambria" w:cs="Cambria"/>
              <w:color w:val="000000"/>
              <w:sz w:val="22"/>
              <w:szCs w:val="22"/>
            </w:rPr>
          </w:pPr>
          <w:hyperlink w:anchor="_heading=h.bm6pp6ar3v5y">
            <w:r w:rsidR="00136824">
              <w:rPr>
                <w:b/>
                <w:color w:val="000000"/>
              </w:rPr>
              <w:t>2.</w:t>
            </w:r>
          </w:hyperlink>
          <w:hyperlink w:anchor="_heading=h.bm6pp6ar3v5y">
            <w:r w:rsidR="00136824">
              <w:rPr>
                <w:rFonts w:ascii="Cambria" w:eastAsia="Cambria" w:hAnsi="Cambria" w:cs="Cambria"/>
                <w:color w:val="000000"/>
                <w:sz w:val="22"/>
                <w:szCs w:val="22"/>
              </w:rPr>
              <w:tab/>
            </w:r>
          </w:hyperlink>
          <w:r w:rsidR="00136824">
            <w:fldChar w:fldCharType="begin"/>
          </w:r>
          <w:r w:rsidR="00136824">
            <w:instrText xml:space="preserve"> PAGEREF _heading=h.bm6pp6ar3v5y \h </w:instrText>
          </w:r>
          <w:r w:rsidR="00136824">
            <w:fldChar w:fldCharType="separate"/>
          </w:r>
          <w:r w:rsidR="00136824">
            <w:rPr>
              <w:b/>
              <w:color w:val="000000"/>
            </w:rPr>
            <w:t>Specification (DPS Schedule 1 (Specification)</w:t>
          </w:r>
          <w:r w:rsidR="00136824">
            <w:rPr>
              <w:color w:val="000000"/>
            </w:rPr>
            <w:t>……………………………………...</w:t>
          </w:r>
          <w:r w:rsidR="00136824">
            <w:rPr>
              <w:color w:val="000000"/>
            </w:rPr>
            <w:tab/>
            <w:t>6</w:t>
          </w:r>
          <w:r w:rsidR="00136824">
            <w:fldChar w:fldCharType="end"/>
          </w:r>
        </w:p>
        <w:p w:rsidR="00AD7F1A" w:rsidRDefault="00E46AAB">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30j0zll">
            <w:r w:rsidR="00136824">
              <w:rPr>
                <w:b/>
                <w:color w:val="000000"/>
              </w:rPr>
              <w:t>2.1.</w:t>
            </w:r>
          </w:hyperlink>
          <w:hyperlink w:anchor="_heading=h.30j0zll">
            <w:r w:rsidR="00136824">
              <w:rPr>
                <w:rFonts w:ascii="Cambria" w:eastAsia="Cambria" w:hAnsi="Cambria" w:cs="Cambria"/>
                <w:color w:val="000000"/>
                <w:sz w:val="22"/>
                <w:szCs w:val="22"/>
              </w:rPr>
              <w:tab/>
            </w:r>
          </w:hyperlink>
          <w:r w:rsidR="00136824">
            <w:fldChar w:fldCharType="begin"/>
          </w:r>
          <w:r w:rsidR="00136824">
            <w:instrText xml:space="preserve"> PAGEREF _heading=h.30j0zll \h </w:instrText>
          </w:r>
          <w:r w:rsidR="00136824">
            <w:fldChar w:fldCharType="separate"/>
          </w:r>
          <w:r w:rsidR="00136824">
            <w:rPr>
              <w:b/>
              <w:color w:val="000000"/>
            </w:rPr>
            <w:t>Our priorities</w:t>
          </w:r>
          <w:r w:rsidR="00136824">
            <w:rPr>
              <w:color w:val="000000"/>
            </w:rPr>
            <w:t>…………………………………………………………………………….</w:t>
          </w:r>
          <w:r w:rsidR="00136824">
            <w:rPr>
              <w:color w:val="000000"/>
            </w:rPr>
            <w:tab/>
            <w:t>6</w:t>
          </w:r>
          <w:r w:rsidR="00136824">
            <w:fldChar w:fldCharType="end"/>
          </w:r>
        </w:p>
        <w:p w:rsidR="00AD7F1A" w:rsidRDefault="00E46AAB">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i0qbl4ggtuma">
            <w:r w:rsidR="00136824">
              <w:rPr>
                <w:b/>
                <w:color w:val="000000"/>
              </w:rPr>
              <w:t>2.2.</w:t>
            </w:r>
          </w:hyperlink>
          <w:hyperlink w:anchor="_heading=h.i0qbl4ggtuma">
            <w:r w:rsidR="00136824">
              <w:rPr>
                <w:rFonts w:ascii="Cambria" w:eastAsia="Cambria" w:hAnsi="Cambria" w:cs="Cambria"/>
                <w:color w:val="000000"/>
                <w:sz w:val="22"/>
                <w:szCs w:val="22"/>
              </w:rPr>
              <w:tab/>
            </w:r>
          </w:hyperlink>
          <w:r w:rsidR="00136824">
            <w:fldChar w:fldCharType="begin"/>
          </w:r>
          <w:r w:rsidR="00136824">
            <w:instrText xml:space="preserve"> PAGEREF _heading=h.i0qbl4ggtuma \h </w:instrText>
          </w:r>
          <w:r w:rsidR="00136824">
            <w:fldChar w:fldCharType="separate"/>
          </w:r>
          <w:r w:rsidR="00136824">
            <w:rPr>
              <w:b/>
              <w:color w:val="000000"/>
            </w:rPr>
            <w:t>Scope</w:t>
          </w:r>
          <w:r w:rsidR="00136824">
            <w:rPr>
              <w:color w:val="000000"/>
            </w:rPr>
            <w:t>……………………………………………………………………………………..</w:t>
          </w:r>
          <w:r w:rsidR="00136824">
            <w:rPr>
              <w:color w:val="000000"/>
            </w:rPr>
            <w:tab/>
            <w:t>6</w:t>
          </w:r>
          <w:r w:rsidR="00136824">
            <w:fldChar w:fldCharType="end"/>
          </w:r>
        </w:p>
        <w:p w:rsidR="00AD7F1A" w:rsidRDefault="00E46AAB">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kk0hrax4d83e">
            <w:r w:rsidR="00136824">
              <w:rPr>
                <w:b/>
                <w:color w:val="000000"/>
              </w:rPr>
              <w:t>2.3.</w:t>
            </w:r>
          </w:hyperlink>
          <w:hyperlink w:anchor="_heading=h.kk0hrax4d83e">
            <w:r w:rsidR="00136824">
              <w:rPr>
                <w:rFonts w:ascii="Cambria" w:eastAsia="Cambria" w:hAnsi="Cambria" w:cs="Cambria"/>
                <w:color w:val="000000"/>
                <w:sz w:val="22"/>
                <w:szCs w:val="22"/>
              </w:rPr>
              <w:tab/>
            </w:r>
          </w:hyperlink>
          <w:r w:rsidR="00136824">
            <w:fldChar w:fldCharType="begin"/>
          </w:r>
          <w:r w:rsidR="00136824">
            <w:instrText xml:space="preserve"> PAGEREF _heading=h.kk0hrax4d83e \h </w:instrText>
          </w:r>
          <w:r w:rsidR="00136824">
            <w:fldChar w:fldCharType="separate"/>
          </w:r>
          <w:r w:rsidR="00136824">
            <w:rPr>
              <w:b/>
              <w:color w:val="000000"/>
            </w:rPr>
            <w:t>Service Types</w:t>
          </w:r>
          <w:r w:rsidR="00136824">
            <w:rPr>
              <w:color w:val="000000"/>
            </w:rPr>
            <w:t>…………………………………………………………………………...</w:t>
          </w:r>
          <w:r w:rsidR="00136824">
            <w:rPr>
              <w:color w:val="000000"/>
            </w:rPr>
            <w:tab/>
            <w:t>7</w:t>
          </w:r>
          <w:r w:rsidR="00136824">
            <w:fldChar w:fldCharType="end"/>
          </w:r>
        </w:p>
        <w:p w:rsidR="00AD7F1A" w:rsidRDefault="00E46AAB">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rrp6luxylt49">
            <w:r w:rsidR="00136824">
              <w:rPr>
                <w:b/>
                <w:color w:val="000000"/>
              </w:rPr>
              <w:t>2.4.</w:t>
            </w:r>
          </w:hyperlink>
          <w:hyperlink w:anchor="_heading=h.rrp6luxylt49">
            <w:r w:rsidR="00136824">
              <w:rPr>
                <w:rFonts w:ascii="Cambria" w:eastAsia="Cambria" w:hAnsi="Cambria" w:cs="Cambria"/>
                <w:color w:val="000000"/>
                <w:sz w:val="22"/>
                <w:szCs w:val="22"/>
              </w:rPr>
              <w:tab/>
            </w:r>
          </w:hyperlink>
          <w:r w:rsidR="00136824">
            <w:fldChar w:fldCharType="begin"/>
          </w:r>
          <w:r w:rsidR="00136824">
            <w:instrText xml:space="preserve"> PAGEREF _heading=h.rrp6luxylt49 \h </w:instrText>
          </w:r>
          <w:r w:rsidR="00136824">
            <w:fldChar w:fldCharType="separate"/>
          </w:r>
          <w:r w:rsidR="00136824">
            <w:rPr>
              <w:b/>
              <w:color w:val="000000"/>
            </w:rPr>
            <w:t>Accreditations and Standards</w:t>
          </w:r>
          <w:r w:rsidR="00136824">
            <w:rPr>
              <w:color w:val="000000"/>
            </w:rPr>
            <w:t>……………………………………………………….</w:t>
          </w:r>
          <w:r w:rsidR="00136824">
            <w:rPr>
              <w:color w:val="000000"/>
            </w:rPr>
            <w:tab/>
            <w:t>8</w:t>
          </w:r>
          <w:r w:rsidR="00136824">
            <w:fldChar w:fldCharType="end"/>
          </w:r>
        </w:p>
        <w:p w:rsidR="00AD7F1A" w:rsidRDefault="00E46AAB">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eogc0quv1r78">
            <w:r w:rsidR="00136824">
              <w:rPr>
                <w:b/>
                <w:color w:val="000000"/>
              </w:rPr>
              <w:t>2.5.</w:t>
            </w:r>
          </w:hyperlink>
          <w:hyperlink w:anchor="_heading=h.eogc0quv1r78">
            <w:r w:rsidR="00136824">
              <w:rPr>
                <w:rFonts w:ascii="Cambria" w:eastAsia="Cambria" w:hAnsi="Cambria" w:cs="Cambria"/>
                <w:color w:val="000000"/>
                <w:sz w:val="22"/>
                <w:szCs w:val="22"/>
              </w:rPr>
              <w:tab/>
            </w:r>
          </w:hyperlink>
          <w:r w:rsidR="00136824">
            <w:fldChar w:fldCharType="begin"/>
          </w:r>
          <w:r w:rsidR="00136824">
            <w:instrText xml:space="preserve"> PAGEREF _heading=h.eogc0quv1r78 \h </w:instrText>
          </w:r>
          <w:r w:rsidR="00136824">
            <w:fldChar w:fldCharType="separate"/>
          </w:r>
          <w:r w:rsidR="00136824">
            <w:rPr>
              <w:b/>
              <w:color w:val="000000"/>
            </w:rPr>
            <w:t>Sectors/ Experience:</w:t>
          </w:r>
          <w:r w:rsidR="00136824">
            <w:rPr>
              <w:color w:val="000000"/>
            </w:rPr>
            <w:t>…………………………………………………………………..</w:t>
          </w:r>
          <w:r w:rsidR="00136824">
            <w:rPr>
              <w:color w:val="000000"/>
            </w:rPr>
            <w:tab/>
            <w:t>9</w:t>
          </w:r>
          <w:r w:rsidR="00136824">
            <w:fldChar w:fldCharType="end"/>
          </w:r>
        </w:p>
        <w:p w:rsidR="00AD7F1A" w:rsidRDefault="00E46AAB">
          <w:pPr>
            <w:pBdr>
              <w:top w:val="nil"/>
              <w:left w:val="nil"/>
              <w:bottom w:val="nil"/>
              <w:right w:val="nil"/>
              <w:between w:val="nil"/>
            </w:pBdr>
            <w:tabs>
              <w:tab w:val="left" w:pos="660"/>
              <w:tab w:val="right" w:pos="9350"/>
            </w:tabs>
            <w:spacing w:after="100"/>
            <w:rPr>
              <w:rFonts w:ascii="Cambria" w:eastAsia="Cambria" w:hAnsi="Cambria" w:cs="Cambria"/>
              <w:color w:val="000000"/>
              <w:sz w:val="22"/>
              <w:szCs w:val="22"/>
            </w:rPr>
          </w:pPr>
          <w:hyperlink w:anchor="_heading=h.gyx9xknakndk">
            <w:r w:rsidR="00136824">
              <w:rPr>
                <w:b/>
                <w:color w:val="000000"/>
              </w:rPr>
              <w:t>2.6.</w:t>
            </w:r>
          </w:hyperlink>
          <w:hyperlink w:anchor="_heading=h.gyx9xknakndk">
            <w:r w:rsidR="00136824">
              <w:rPr>
                <w:rFonts w:ascii="Cambria" w:eastAsia="Cambria" w:hAnsi="Cambria" w:cs="Cambria"/>
                <w:color w:val="000000"/>
                <w:sz w:val="22"/>
                <w:szCs w:val="22"/>
              </w:rPr>
              <w:tab/>
            </w:r>
          </w:hyperlink>
          <w:r w:rsidR="00136824">
            <w:fldChar w:fldCharType="begin"/>
          </w:r>
          <w:r w:rsidR="00136824">
            <w:instrText xml:space="preserve"> PAGEREF _heading=h.gyx9xknakndk \h </w:instrText>
          </w:r>
          <w:r w:rsidR="00136824">
            <w:fldChar w:fldCharType="separate"/>
          </w:r>
          <w:r w:rsidR="00136824">
            <w:rPr>
              <w:b/>
              <w:color w:val="000000"/>
            </w:rPr>
            <w:t>What is outside of the scope of the DPS Contract?</w:t>
          </w:r>
          <w:r w:rsidR="00136824">
            <w:rPr>
              <w:color w:val="000000"/>
            </w:rPr>
            <w:t>........................................</w:t>
          </w:r>
          <w:r w:rsidR="00136824">
            <w:rPr>
              <w:color w:val="000000"/>
            </w:rPr>
            <w:tab/>
            <w:t>9</w:t>
          </w:r>
          <w:r w:rsidR="00136824">
            <w:fldChar w:fldCharType="end"/>
          </w:r>
        </w:p>
        <w:p w:rsidR="00AD7F1A" w:rsidRDefault="00E46AAB">
          <w:pPr>
            <w:pBdr>
              <w:top w:val="nil"/>
              <w:left w:val="nil"/>
              <w:bottom w:val="nil"/>
              <w:right w:val="nil"/>
              <w:between w:val="nil"/>
            </w:pBdr>
            <w:tabs>
              <w:tab w:val="left" w:pos="440"/>
              <w:tab w:val="right" w:pos="9350"/>
            </w:tabs>
            <w:spacing w:after="100"/>
            <w:rPr>
              <w:rFonts w:ascii="Cambria" w:eastAsia="Cambria" w:hAnsi="Cambria" w:cs="Cambria"/>
              <w:color w:val="000000"/>
              <w:sz w:val="22"/>
              <w:szCs w:val="22"/>
            </w:rPr>
          </w:pPr>
          <w:hyperlink w:anchor="_heading=h.3laajiy6lgtm">
            <w:r w:rsidR="00136824">
              <w:rPr>
                <w:b/>
                <w:color w:val="000000"/>
              </w:rPr>
              <w:t>3.</w:t>
            </w:r>
          </w:hyperlink>
          <w:hyperlink w:anchor="_heading=h.3laajiy6lgtm">
            <w:r w:rsidR="00136824">
              <w:rPr>
                <w:rFonts w:ascii="Cambria" w:eastAsia="Cambria" w:hAnsi="Cambria" w:cs="Cambria"/>
                <w:color w:val="000000"/>
                <w:sz w:val="22"/>
                <w:szCs w:val="22"/>
              </w:rPr>
              <w:tab/>
            </w:r>
          </w:hyperlink>
          <w:r w:rsidR="00136824">
            <w:fldChar w:fldCharType="begin"/>
          </w:r>
          <w:r w:rsidR="00136824">
            <w:instrText xml:space="preserve"> PAGEREF _heading=h.3laajiy6lgtm \h </w:instrText>
          </w:r>
          <w:r w:rsidR="00136824">
            <w:fldChar w:fldCharType="separate"/>
          </w:r>
          <w:r w:rsidR="00136824">
            <w:rPr>
              <w:b/>
              <w:color w:val="000000"/>
            </w:rPr>
            <w:t>Mandatory Requirements:</w:t>
          </w:r>
          <w:r w:rsidR="00136824">
            <w:rPr>
              <w:color w:val="000000"/>
            </w:rPr>
            <w:t>……………………………………………………………..</w:t>
          </w:r>
          <w:r w:rsidR="00136824">
            <w:rPr>
              <w:color w:val="000000"/>
            </w:rPr>
            <w:tab/>
            <w:t>10</w:t>
          </w:r>
          <w:r w:rsidR="00136824">
            <w:fldChar w:fldCharType="end"/>
          </w:r>
        </w:p>
        <w:p w:rsidR="00AD7F1A" w:rsidRDefault="00136824">
          <w:r>
            <w:fldChar w:fldCharType="end"/>
          </w:r>
        </w:p>
      </w:sdtContent>
    </w:sdt>
    <w:p w:rsidR="00AD7F1A" w:rsidRDefault="00AD7F1A"/>
    <w:p w:rsidR="00AD7F1A" w:rsidRDefault="00AD7F1A"/>
    <w:p w:rsidR="00AD7F1A" w:rsidRDefault="00AD7F1A"/>
    <w:p w:rsidR="00AD7F1A" w:rsidRDefault="00AD7F1A"/>
    <w:p w:rsidR="00AD7F1A" w:rsidRDefault="00136824">
      <w:r>
        <w:tab/>
      </w:r>
    </w:p>
    <w:p w:rsidR="00AD7F1A" w:rsidRDefault="00AD7F1A"/>
    <w:p w:rsidR="00AD7F1A" w:rsidRDefault="00AD7F1A"/>
    <w:p w:rsidR="00AD7F1A" w:rsidRDefault="00AD7F1A"/>
    <w:p w:rsidR="00AD7F1A" w:rsidRDefault="00AD7F1A"/>
    <w:p w:rsidR="00AD7F1A" w:rsidRDefault="00AD7F1A"/>
    <w:p w:rsidR="00AD7F1A" w:rsidRDefault="00AD7F1A"/>
    <w:p w:rsidR="00AD7F1A" w:rsidRDefault="00136824">
      <w:r>
        <w:br w:type="page"/>
      </w:r>
    </w:p>
    <w:p w:rsidR="00AD7F1A" w:rsidRDefault="00136824">
      <w:pPr>
        <w:pStyle w:val="Heading1"/>
        <w:numPr>
          <w:ilvl w:val="0"/>
          <w:numId w:val="17"/>
        </w:numPr>
        <w:ind w:left="851" w:hanging="851"/>
        <w:rPr>
          <w:b/>
          <w:color w:val="000000"/>
        </w:rPr>
      </w:pPr>
      <w:bookmarkStart w:id="1" w:name="_heading=h.4aj75wuj15ai" w:colFirst="0" w:colLast="0"/>
      <w:bookmarkEnd w:id="1"/>
      <w:r>
        <w:rPr>
          <w:b/>
          <w:color w:val="000000"/>
        </w:rPr>
        <w:lastRenderedPageBreak/>
        <w:t>Introduction</w:t>
      </w:r>
    </w:p>
    <w:p w:rsidR="00AD7F1A" w:rsidRDefault="00136824">
      <w:pPr>
        <w:pStyle w:val="Heading2"/>
        <w:ind w:left="851" w:hanging="851"/>
        <w:rPr>
          <w:b/>
          <w:color w:val="000000"/>
        </w:rPr>
      </w:pPr>
      <w:bookmarkStart w:id="2" w:name="_heading=h.14qvsx8gfnx0" w:colFirst="0" w:colLast="0"/>
      <w:bookmarkEnd w:id="2"/>
      <w:r>
        <w:rPr>
          <w:b/>
          <w:color w:val="000000"/>
        </w:rPr>
        <w:t xml:space="preserve">1.1 </w:t>
      </w:r>
      <w:r>
        <w:rPr>
          <w:b/>
          <w:color w:val="000000"/>
        </w:rPr>
        <w:tab/>
        <w:t>Buyer Needs Statement</w:t>
      </w:r>
    </w:p>
    <w:p w:rsidR="00AD7F1A" w:rsidRDefault="00136824">
      <w:pPr>
        <w:spacing w:before="120" w:after="120" w:line="240" w:lineRule="auto"/>
        <w:ind w:hanging="1"/>
        <w:jc w:val="both"/>
      </w:pPr>
      <w:r>
        <w:t>Crown Commercial Service (CCS) is seeking to establish a Dynamic Purchasing Agreement (DPS) for the provision of Cyber Services for all UK central government departments, wider public sector organisations and charities as listed in the OJEU Contract Notice for RM3764iii – Cyber Services 3 DPS.</w:t>
      </w:r>
    </w:p>
    <w:p w:rsidR="00AD7F1A" w:rsidRDefault="00136824">
      <w:pPr>
        <w:spacing w:before="120" w:after="120" w:line="240" w:lineRule="auto"/>
        <w:ind w:hanging="1"/>
        <w:jc w:val="both"/>
      </w:pPr>
      <w:r>
        <w:t>This DPS Agreement will be managed by CCS and any contract(s) awarded under this DPS Agreement will be managed by individual Buyers.</w:t>
      </w:r>
    </w:p>
    <w:p w:rsidR="00AD7F1A" w:rsidRDefault="00136824">
      <w:pPr>
        <w:spacing w:before="120" w:after="120" w:line="240" w:lineRule="auto"/>
        <w:ind w:hanging="1"/>
        <w:jc w:val="both"/>
      </w:pPr>
      <w:r>
        <w:t>The intended duration period of the RM3764iii DPS Agreement was for 3 years (</w:t>
      </w:r>
      <w:r>
        <w:rPr>
          <w:highlight w:val="white"/>
        </w:rPr>
        <w:t>36 months)</w:t>
      </w:r>
      <w:r>
        <w:t>. We have since undergone 3 extensions totalling 6 years increasing the total duration to 9 years (108 months). In the event that the RM3764iii DPS Agreement is terminated without fault, CCS shall give the Supplier no less than thirty (30) days written notice. CCS acknowledges that RM3764iii DPS Agreement will not be terminated within the initial first three (3) months from the commencement date.</w:t>
      </w:r>
    </w:p>
    <w:p w:rsidR="00AD7F1A" w:rsidRDefault="00136824">
      <w:pPr>
        <w:spacing w:before="120" w:after="120" w:line="240" w:lineRule="auto"/>
        <w:ind w:hanging="1"/>
        <w:jc w:val="both"/>
      </w:pPr>
      <w:r>
        <w:t>CCS may extend the duration of this DPS Agreement for any period or periods from the expiry of the Initial RM3764iii DPS Agreement period by giving the Supplier no less than three (3) Months' written notice. Any such extensions will be notified to the wider market using the appropriate specified route.</w:t>
      </w:r>
    </w:p>
    <w:p w:rsidR="00AD7F1A" w:rsidRDefault="00136824">
      <w:pPr>
        <w:spacing w:before="120" w:after="120" w:line="240" w:lineRule="auto"/>
        <w:ind w:hanging="1"/>
        <w:jc w:val="both"/>
      </w:pPr>
      <w:r>
        <w:t xml:space="preserve">The flexibility of the contracting period allows the buyer to determine appropriate contracting timelines required in order that the supplier can meet the needs of the buyer for large and complex projects. </w:t>
      </w:r>
    </w:p>
    <w:p w:rsidR="00AD7F1A" w:rsidRDefault="00136824">
      <w:pPr>
        <w:pStyle w:val="Heading2"/>
        <w:ind w:left="851" w:hanging="851"/>
        <w:rPr>
          <w:b/>
          <w:color w:val="000000"/>
        </w:rPr>
      </w:pPr>
      <w:bookmarkStart w:id="3" w:name="_heading=h.f24pw92zl3j9" w:colFirst="0" w:colLast="0"/>
      <w:bookmarkEnd w:id="3"/>
      <w:r>
        <w:rPr>
          <w:b/>
          <w:color w:val="000000"/>
        </w:rPr>
        <w:t xml:space="preserve">1.2 </w:t>
      </w:r>
      <w:r>
        <w:rPr>
          <w:b/>
          <w:color w:val="000000"/>
        </w:rPr>
        <w:tab/>
        <w:t>The Opportunity</w:t>
      </w:r>
    </w:p>
    <w:p w:rsidR="00AD7F1A" w:rsidRDefault="00136824">
      <w:pPr>
        <w:spacing w:before="120" w:after="120" w:line="240" w:lineRule="auto"/>
        <w:ind w:hanging="1"/>
        <w:jc w:val="both"/>
      </w:pPr>
      <w:r>
        <w:t>The RM3764iii – Cyber Services 3 DPS Agreement will provide central government and wider public sector buyers with the opportunity to procure an extensive range of Cyber Security services from a range of suppliers.</w:t>
      </w:r>
    </w:p>
    <w:p w:rsidR="00AD7F1A" w:rsidRDefault="00136824">
      <w:pPr>
        <w:spacing w:before="120" w:after="120" w:line="240" w:lineRule="auto"/>
        <w:ind w:hanging="1"/>
        <w:jc w:val="both"/>
      </w:pPr>
      <w:r>
        <w:t xml:space="preserve">Upon application to join the DPS Agreement, bidders are required to indicate which categories and services they are able to bid for. It is therefore essential that bidders select the exact elements relevant to their service offering in order to be invited to the relevant competitions. </w:t>
      </w:r>
    </w:p>
    <w:p w:rsidR="00AD7F1A" w:rsidRDefault="00136824">
      <w:pPr>
        <w:spacing w:before="120" w:after="120" w:line="240" w:lineRule="auto"/>
        <w:ind w:hanging="1"/>
        <w:jc w:val="both"/>
      </w:pPr>
      <w:r>
        <w:t xml:space="preserve">Buyers will use the product and service element filters as detailed in Attachment 1 – Cyber Services 3 Product and Services Matrix, to short list appointed suppliers offering their service requirements and invite to competition. </w:t>
      </w:r>
    </w:p>
    <w:p w:rsidR="00AD7F1A" w:rsidRDefault="00136824">
      <w:pPr>
        <w:spacing w:before="120" w:after="120" w:line="240" w:lineRule="auto"/>
        <w:ind w:left="851" w:hanging="851"/>
        <w:jc w:val="both"/>
        <w:rPr>
          <w:b/>
        </w:rPr>
      </w:pPr>
      <w:r>
        <w:rPr>
          <w:b/>
        </w:rPr>
        <w:t>What is a Dynamic Purchasing System (DPS)?</w:t>
      </w:r>
    </w:p>
    <w:p w:rsidR="00AD7F1A" w:rsidRDefault="00136824">
      <w:pPr>
        <w:spacing w:before="120" w:after="120" w:line="240" w:lineRule="auto"/>
        <w:ind w:hanging="1"/>
        <w:jc w:val="both"/>
      </w:pPr>
      <w:r>
        <w:t xml:space="preserve">A DPS is a public sector sourcing tool for common goods and services under regulation 34 (Dynamic Purchasing Systems) of the </w:t>
      </w:r>
      <w:hyperlink r:id="rId11">
        <w:r>
          <w:rPr>
            <w:color w:val="0000FF"/>
            <w:u w:val="single"/>
          </w:rPr>
          <w:t>PCR 2015</w:t>
        </w:r>
      </w:hyperlink>
      <w:r>
        <w:t>. Bidders can apply to join at any point and don’t require any special IT equipment as a DPS eliminates unnecessary activity for the bidder, up front:</w:t>
      </w:r>
    </w:p>
    <w:p w:rsidR="00AD7F1A" w:rsidRDefault="00AD7F1A"/>
    <w:p w:rsidR="00AD7F1A" w:rsidRDefault="00136824">
      <w:r>
        <w:rPr>
          <w:noProof/>
        </w:rPr>
        <w:lastRenderedPageBreak/>
        <mc:AlternateContent>
          <mc:Choice Requires="wpg">
            <w:drawing>
              <wp:inline distT="0" distB="0" distL="0" distR="0">
                <wp:extent cx="4908550" cy="3629660"/>
                <wp:effectExtent l="0" t="0" r="0" b="0"/>
                <wp:docPr id="30" name="Group 30"/>
                <wp:cNvGraphicFramePr/>
                <a:graphic xmlns:a="http://schemas.openxmlformats.org/drawingml/2006/main">
                  <a:graphicData uri="http://schemas.microsoft.com/office/word/2010/wordprocessingGroup">
                    <wpg:wgp>
                      <wpg:cNvGrpSpPr/>
                      <wpg:grpSpPr>
                        <a:xfrm>
                          <a:off x="0" y="0"/>
                          <a:ext cx="4908550" cy="3629660"/>
                          <a:chOff x="2885350" y="1958800"/>
                          <a:chExt cx="4921300" cy="3642400"/>
                        </a:xfrm>
                      </wpg:grpSpPr>
                      <wpg:grpSp>
                        <wpg:cNvPr id="1" name="Group 1"/>
                        <wpg:cNvGrpSpPr/>
                        <wpg:grpSpPr>
                          <a:xfrm>
                            <a:off x="2891725" y="1965170"/>
                            <a:ext cx="4908550" cy="3629660"/>
                            <a:chOff x="2891725" y="1965170"/>
                            <a:chExt cx="4908550" cy="3629660"/>
                          </a:xfrm>
                        </wpg:grpSpPr>
                        <wps:wsp>
                          <wps:cNvPr id="2" name="Rectangle 2"/>
                          <wps:cNvSpPr/>
                          <wps:spPr>
                            <a:xfrm>
                              <a:off x="2891725" y="1965170"/>
                              <a:ext cx="4908550" cy="3629650"/>
                            </a:xfrm>
                            <a:prstGeom prst="rect">
                              <a:avLst/>
                            </a:prstGeom>
                            <a:noFill/>
                            <a:ln>
                              <a:noFill/>
                            </a:ln>
                          </wps:spPr>
                          <wps:txbx>
                            <w:txbxContent>
                              <w:p w:rsidR="00AD7F1A" w:rsidRDefault="00AD7F1A">
                                <w:pPr>
                                  <w:spacing w:after="0" w:line="240" w:lineRule="auto"/>
                                  <w:textDirection w:val="btLr"/>
                                </w:pPr>
                              </w:p>
                            </w:txbxContent>
                          </wps:txbx>
                          <wps:bodyPr spcFirstLastPara="1" wrap="square" lIns="91425" tIns="91425" rIns="91425" bIns="91425" anchor="ctr" anchorCtr="0">
                            <a:noAutofit/>
                          </wps:bodyPr>
                        </wps:wsp>
                        <wpg:grpSp>
                          <wpg:cNvPr id="3" name="Group 3"/>
                          <wpg:cNvGrpSpPr/>
                          <wpg:grpSpPr>
                            <a:xfrm>
                              <a:off x="2891725" y="1965170"/>
                              <a:ext cx="4908550" cy="3629660"/>
                              <a:chOff x="2891725" y="1965170"/>
                              <a:chExt cx="4908550" cy="3629660"/>
                            </a:xfrm>
                          </wpg:grpSpPr>
                          <wps:wsp>
                            <wps:cNvPr id="4" name="Rectangle 4"/>
                            <wps:cNvSpPr/>
                            <wps:spPr>
                              <a:xfrm>
                                <a:off x="2891725" y="1965170"/>
                                <a:ext cx="4908550" cy="3629650"/>
                              </a:xfrm>
                              <a:prstGeom prst="rect">
                                <a:avLst/>
                              </a:prstGeom>
                              <a:noFill/>
                              <a:ln>
                                <a:noFill/>
                              </a:ln>
                            </wps:spPr>
                            <wps:txbx>
                              <w:txbxContent>
                                <w:p w:rsidR="00AD7F1A" w:rsidRDefault="00AD7F1A">
                                  <w:pPr>
                                    <w:spacing w:after="0" w:line="240" w:lineRule="auto"/>
                                    <w:textDirection w:val="btLr"/>
                                  </w:pPr>
                                </w:p>
                              </w:txbxContent>
                            </wps:txbx>
                            <wps:bodyPr spcFirstLastPara="1" wrap="square" lIns="91425" tIns="91425" rIns="91425" bIns="91425" anchor="ctr" anchorCtr="0">
                              <a:noAutofit/>
                            </wps:bodyPr>
                          </wps:wsp>
                          <wpg:grpSp>
                            <wpg:cNvPr id="5" name="Group 5"/>
                            <wpg:cNvGrpSpPr/>
                            <wpg:grpSpPr>
                              <a:xfrm>
                                <a:off x="2891725" y="1965170"/>
                                <a:ext cx="4908550" cy="3629660"/>
                                <a:chOff x="2891725" y="1965170"/>
                                <a:chExt cx="4908550" cy="3629660"/>
                              </a:xfrm>
                            </wpg:grpSpPr>
                            <wps:wsp>
                              <wps:cNvPr id="6" name="Rectangle 6"/>
                              <wps:cNvSpPr/>
                              <wps:spPr>
                                <a:xfrm>
                                  <a:off x="2891725" y="1965170"/>
                                  <a:ext cx="4908550" cy="3629650"/>
                                </a:xfrm>
                                <a:prstGeom prst="rect">
                                  <a:avLst/>
                                </a:prstGeom>
                                <a:noFill/>
                                <a:ln>
                                  <a:noFill/>
                                </a:ln>
                              </wps:spPr>
                              <wps:txbx>
                                <w:txbxContent>
                                  <w:p w:rsidR="00AD7F1A" w:rsidRDefault="00AD7F1A">
                                    <w:pPr>
                                      <w:spacing w:after="0" w:line="240" w:lineRule="auto"/>
                                      <w:textDirection w:val="btLr"/>
                                    </w:pPr>
                                  </w:p>
                                </w:txbxContent>
                              </wps:txbx>
                              <wps:bodyPr spcFirstLastPara="1" wrap="square" lIns="91425" tIns="91425" rIns="91425" bIns="91425" anchor="ctr" anchorCtr="0">
                                <a:noAutofit/>
                              </wps:bodyPr>
                            </wps:wsp>
                            <wpg:grpSp>
                              <wpg:cNvPr id="7" name="Group 7"/>
                              <wpg:cNvGrpSpPr/>
                              <wpg:grpSpPr>
                                <a:xfrm>
                                  <a:off x="2891725" y="1965170"/>
                                  <a:ext cx="4908550" cy="3629660"/>
                                  <a:chOff x="-88016" y="0"/>
                                  <a:chExt cx="5669666" cy="4467860"/>
                                </a:xfrm>
                              </wpg:grpSpPr>
                              <wps:wsp>
                                <wps:cNvPr id="8" name="Rectangle 8"/>
                                <wps:cNvSpPr/>
                                <wps:spPr>
                                  <a:xfrm>
                                    <a:off x="-88016" y="0"/>
                                    <a:ext cx="5669650" cy="4467850"/>
                                  </a:xfrm>
                                  <a:prstGeom prst="rect">
                                    <a:avLst/>
                                  </a:prstGeom>
                                  <a:noFill/>
                                  <a:ln>
                                    <a:noFill/>
                                  </a:ln>
                                </wps:spPr>
                                <wps:txbx>
                                  <w:txbxContent>
                                    <w:p w:rsidR="00AD7F1A" w:rsidRDefault="00AD7F1A">
                                      <w:pPr>
                                        <w:spacing w:after="0" w:line="240" w:lineRule="auto"/>
                                        <w:textDirection w:val="btLr"/>
                                      </w:pPr>
                                    </w:p>
                                  </w:txbxContent>
                                </wps:txbx>
                                <wps:bodyPr spcFirstLastPara="1" wrap="square" lIns="91425" tIns="91425" rIns="91425" bIns="91425" anchor="ctr" anchorCtr="0">
                                  <a:noAutofit/>
                                </wps:bodyPr>
                              </wps:wsp>
                              <wps:wsp>
                                <wps:cNvPr id="9" name="Rectangle: Rounded Corners 9"/>
                                <wps:cNvSpPr/>
                                <wps:spPr>
                                  <a:xfrm>
                                    <a:off x="19050" y="0"/>
                                    <a:ext cx="5551170" cy="360000"/>
                                  </a:xfrm>
                                  <a:prstGeom prst="roundRect">
                                    <a:avLst>
                                      <a:gd name="adj" fmla="val 16667"/>
                                    </a:avLst>
                                  </a:prstGeom>
                                  <a:solidFill>
                                    <a:srgbClr val="757070"/>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jc w:val="center"/>
                                        <w:textDirection w:val="btLr"/>
                                      </w:pPr>
                                      <w:r>
                                        <w:rPr>
                                          <w:b/>
                                          <w:color w:val="000000"/>
                                          <w:sz w:val="18"/>
                                        </w:rPr>
                                        <w:t>CCS Dynamic Purchasing System (DPS)</w:t>
                                      </w:r>
                                    </w:p>
                                  </w:txbxContent>
                                </wps:txbx>
                                <wps:bodyPr spcFirstLastPara="1" wrap="square" lIns="91425" tIns="45700" rIns="91425" bIns="45700" anchor="ctr" anchorCtr="0">
                                  <a:noAutofit/>
                                </wps:bodyPr>
                              </wps:wsp>
                              <wps:wsp>
                                <wps:cNvPr id="10" name="Rectangle: Rounded Corners 10"/>
                                <wps:cNvSpPr/>
                                <wps:spPr>
                                  <a:xfrm>
                                    <a:off x="1009650" y="406400"/>
                                    <a:ext cx="4560570" cy="360000"/>
                                  </a:xfrm>
                                  <a:prstGeom prst="roundRect">
                                    <a:avLst>
                                      <a:gd name="adj" fmla="val 16667"/>
                                    </a:avLst>
                                  </a:prstGeom>
                                  <a:solidFill>
                                    <a:srgbClr val="C4E0B2"/>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jc w:val="center"/>
                                        <w:textDirection w:val="btLr"/>
                                      </w:pPr>
                                      <w:r>
                                        <w:rPr>
                                          <w:color w:val="000000"/>
                                          <w:sz w:val="18"/>
                                        </w:rPr>
                                        <w:t>Cyber Services 3 Compliance achieved</w:t>
                                      </w:r>
                                    </w:p>
                                  </w:txbxContent>
                                </wps:txbx>
                                <wps:bodyPr spcFirstLastPara="1" wrap="square" lIns="91425" tIns="45700" rIns="91425" bIns="45700" anchor="ctr" anchorCtr="0">
                                  <a:noAutofit/>
                                </wps:bodyPr>
                              </wps:wsp>
                              <wps:wsp>
                                <wps:cNvPr id="11" name="Rectangle: Rounded Corners 11"/>
                                <wps:cNvSpPr/>
                                <wps:spPr>
                                  <a:xfrm>
                                    <a:off x="12700" y="406400"/>
                                    <a:ext cx="935990" cy="2032000"/>
                                  </a:xfrm>
                                  <a:prstGeom prst="roundRect">
                                    <a:avLst>
                                      <a:gd name="adj" fmla="val 16667"/>
                                    </a:avLst>
                                  </a:prstGeom>
                                  <a:solidFill>
                                    <a:srgbClr val="2E75B5"/>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jc w:val="center"/>
                                        <w:textDirection w:val="btLr"/>
                                      </w:pPr>
                                      <w:r>
                                        <w:rPr>
                                          <w:color w:val="000000"/>
                                          <w:sz w:val="18"/>
                                        </w:rPr>
                                        <w:t xml:space="preserve">Multiple Suppliers </w:t>
                                      </w:r>
                                    </w:p>
                                  </w:txbxContent>
                                </wps:txbx>
                                <wps:bodyPr spcFirstLastPara="1" wrap="square" lIns="91425" tIns="45700" rIns="91425" bIns="45700" anchor="ctr" anchorCtr="0">
                                  <a:noAutofit/>
                                </wps:bodyPr>
                              </wps:wsp>
                              <wps:wsp>
                                <wps:cNvPr id="12" name="Rectangle: Rounded Corners 12"/>
                                <wps:cNvSpPr/>
                                <wps:spPr>
                                  <a:xfrm>
                                    <a:off x="2330450" y="825500"/>
                                    <a:ext cx="3240000" cy="382135"/>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textDirection w:val="btLr"/>
                                      </w:pPr>
                                      <w:r>
                                        <w:rPr>
                                          <w:color w:val="000000"/>
                                          <w:sz w:val="18"/>
                                        </w:rPr>
                                        <w:t xml:space="preserve">Suppliers can apply to join DPS at any point </w:t>
                                      </w:r>
                                    </w:p>
                                  </w:txbxContent>
                                </wps:txbx>
                                <wps:bodyPr spcFirstLastPara="1" wrap="square" lIns="91425" tIns="45700" rIns="91425" bIns="45700" anchor="ctr" anchorCtr="0">
                                  <a:noAutofit/>
                                </wps:bodyPr>
                              </wps:wsp>
                              <wps:wsp>
                                <wps:cNvPr id="13" name="Rectangle: Rounded Corners 13"/>
                                <wps:cNvSpPr/>
                                <wps:spPr>
                                  <a:xfrm>
                                    <a:off x="2330450" y="1644650"/>
                                    <a:ext cx="3240000" cy="359410"/>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textDirection w:val="btLr"/>
                                      </w:pPr>
                                      <w:r>
                                        <w:rPr>
                                          <w:color w:val="000000"/>
                                          <w:sz w:val="18"/>
                                        </w:rPr>
                                        <w:t>DPS Agreement Terms &amp; Conditions accepted</w:t>
                                      </w:r>
                                    </w:p>
                                  </w:txbxContent>
                                </wps:txbx>
                                <wps:bodyPr spcFirstLastPara="1" wrap="square" lIns="91425" tIns="45700" rIns="91425" bIns="45700" anchor="ctr" anchorCtr="0">
                                  <a:noAutofit/>
                                </wps:bodyPr>
                              </wps:wsp>
                              <wps:wsp>
                                <wps:cNvPr id="14" name="Rectangle: Rounded Corners 14"/>
                                <wps:cNvSpPr/>
                                <wps:spPr>
                                  <a:xfrm>
                                    <a:off x="-88016" y="2889250"/>
                                    <a:ext cx="1024005" cy="1578610"/>
                                  </a:xfrm>
                                  <a:prstGeom prst="roundRect">
                                    <a:avLst>
                                      <a:gd name="adj" fmla="val 16667"/>
                                    </a:avLst>
                                  </a:prstGeom>
                                  <a:solidFill>
                                    <a:srgbClr val="C55A11"/>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jc w:val="center"/>
                                        <w:textDirection w:val="btLr"/>
                                      </w:pPr>
                                      <w:r>
                                        <w:rPr>
                                          <w:color w:val="000000"/>
                                          <w:sz w:val="18"/>
                                        </w:rPr>
                                        <w:t xml:space="preserve">Multiple Buyers </w:t>
                                      </w:r>
                                    </w:p>
                                  </w:txbxContent>
                                </wps:txbx>
                                <wps:bodyPr spcFirstLastPara="1" wrap="square" lIns="91425" tIns="45700" rIns="91425" bIns="45700" anchor="ctr" anchorCtr="0">
                                  <a:noAutofit/>
                                </wps:bodyPr>
                              </wps:wsp>
                              <wps:wsp>
                                <wps:cNvPr id="15" name="Rectangle: Rounded Corners 15"/>
                                <wps:cNvSpPr/>
                                <wps:spPr>
                                  <a:xfrm>
                                    <a:off x="1009650" y="2889250"/>
                                    <a:ext cx="1281600" cy="1155700"/>
                                  </a:xfrm>
                                  <a:prstGeom prst="roundRect">
                                    <a:avLst>
                                      <a:gd name="adj" fmla="val 16667"/>
                                    </a:avLst>
                                  </a:prstGeom>
                                  <a:solidFill>
                                    <a:srgbClr val="ED7D31"/>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jc w:val="center"/>
                                        <w:textDirection w:val="btLr"/>
                                      </w:pPr>
                                      <w:r>
                                        <w:rPr>
                                          <w:color w:val="000000"/>
                                          <w:sz w:val="18"/>
                                        </w:rPr>
                                        <w:t>Buyers Competition through the DPS</w:t>
                                      </w:r>
                                    </w:p>
                                  </w:txbxContent>
                                </wps:txbx>
                                <wps:bodyPr spcFirstLastPara="1" wrap="square" lIns="91425" tIns="45700" rIns="91425" bIns="45700" anchor="ctr" anchorCtr="0">
                                  <a:noAutofit/>
                                </wps:bodyPr>
                              </wps:wsp>
                              <wps:wsp>
                                <wps:cNvPr id="16" name="Rectangle: Rounded Corners 16"/>
                                <wps:cNvSpPr/>
                                <wps:spPr>
                                  <a:xfrm>
                                    <a:off x="1009650" y="2070100"/>
                                    <a:ext cx="4572000" cy="359410"/>
                                  </a:xfrm>
                                  <a:prstGeom prst="roundRect">
                                    <a:avLst>
                                      <a:gd name="adj" fmla="val 16667"/>
                                    </a:avLst>
                                  </a:prstGeom>
                                  <a:solidFill>
                                    <a:srgbClr val="70AD47"/>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jc w:val="center"/>
                                        <w:textDirection w:val="btLr"/>
                                      </w:pPr>
                                      <w:r>
                                        <w:rPr>
                                          <w:color w:val="000000"/>
                                          <w:sz w:val="18"/>
                                        </w:rPr>
                                        <w:t>Suppliers accepted to the DPS – DPS Agreement executed</w:t>
                                      </w:r>
                                    </w:p>
                                  </w:txbxContent>
                                </wps:txbx>
                                <wps:bodyPr spcFirstLastPara="1" wrap="square" lIns="91425" tIns="45700" rIns="91425" bIns="45700" anchor="ctr" anchorCtr="0">
                                  <a:noAutofit/>
                                </wps:bodyPr>
                              </wps:wsp>
                              <wps:wsp>
                                <wps:cNvPr id="17" name="Rectangle: Rounded Corners 17"/>
                                <wps:cNvSpPr/>
                                <wps:spPr>
                                  <a:xfrm>
                                    <a:off x="1009650" y="825500"/>
                                    <a:ext cx="1282065" cy="1187450"/>
                                  </a:xfrm>
                                  <a:prstGeom prst="roundRect">
                                    <a:avLst>
                                      <a:gd name="adj" fmla="val 16667"/>
                                    </a:avLst>
                                  </a:prstGeom>
                                  <a:solidFill>
                                    <a:srgbClr val="5B9BD5"/>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jc w:val="center"/>
                                        <w:textDirection w:val="btLr"/>
                                      </w:pPr>
                                      <w:r>
                                        <w:rPr>
                                          <w:color w:val="000000"/>
                                          <w:sz w:val="18"/>
                                        </w:rPr>
                                        <w:t>Suppliers Request to Participate (RtP) in the DPS</w:t>
                                      </w:r>
                                    </w:p>
                                  </w:txbxContent>
                                </wps:txbx>
                                <wps:bodyPr spcFirstLastPara="1" wrap="square" lIns="91425" tIns="45700" rIns="91425" bIns="45700" anchor="ctr" anchorCtr="0">
                                  <a:noAutofit/>
                                </wps:bodyPr>
                              </wps:wsp>
                              <wps:wsp>
                                <wps:cNvPr id="18" name="Rectangle: Rounded Corners 18"/>
                                <wps:cNvSpPr/>
                                <wps:spPr>
                                  <a:xfrm>
                                    <a:off x="2330450" y="1231900"/>
                                    <a:ext cx="3240000" cy="359410"/>
                                  </a:xfrm>
                                  <a:prstGeom prst="roundRect">
                                    <a:avLst>
                                      <a:gd name="adj" fmla="val 16667"/>
                                    </a:avLst>
                                  </a:prstGeom>
                                  <a:solidFill>
                                    <a:srgbClr val="9CC2E5"/>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textDirection w:val="btLr"/>
                                      </w:pPr>
                                      <w:r>
                                        <w:rPr>
                                          <w:color w:val="000000"/>
                                          <w:sz w:val="18"/>
                                        </w:rPr>
                                        <w:t>DPS Selection criteria satisfied</w:t>
                                      </w:r>
                                    </w:p>
                                  </w:txbxContent>
                                </wps:txbx>
                                <wps:bodyPr spcFirstLastPara="1" wrap="square" lIns="91425" tIns="45700" rIns="91425" bIns="45700" anchor="ctr" anchorCtr="0">
                                  <a:noAutofit/>
                                </wps:bodyPr>
                              </wps:wsp>
                              <wps:wsp>
                                <wps:cNvPr id="19" name="Rectangle: Rounded Corners 19"/>
                                <wps:cNvSpPr/>
                                <wps:spPr>
                                  <a:xfrm>
                                    <a:off x="1009650" y="4108450"/>
                                    <a:ext cx="4572000" cy="359410"/>
                                  </a:xfrm>
                                  <a:prstGeom prst="roundRect">
                                    <a:avLst>
                                      <a:gd name="adj" fmla="val 16667"/>
                                    </a:avLst>
                                  </a:prstGeom>
                                  <a:solidFill>
                                    <a:srgbClr val="70AD47"/>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jc w:val="center"/>
                                        <w:textDirection w:val="btLr"/>
                                      </w:pPr>
                                      <w:r>
                                        <w:rPr>
                                          <w:color w:val="000000"/>
                                          <w:sz w:val="18"/>
                                        </w:rPr>
                                        <w:t xml:space="preserve">Supplier(s) Awarded a Contract </w:t>
                                      </w:r>
                                    </w:p>
                                  </w:txbxContent>
                                </wps:txbx>
                                <wps:bodyPr spcFirstLastPara="1" wrap="square" lIns="91425" tIns="45700" rIns="91425" bIns="45700" anchor="ctr" anchorCtr="0">
                                  <a:noAutofit/>
                                </wps:bodyPr>
                              </wps:wsp>
                              <wps:wsp>
                                <wps:cNvPr id="20" name="Arrow: Down 20"/>
                                <wps:cNvSpPr/>
                                <wps:spPr>
                                  <a:xfrm>
                                    <a:off x="2921000" y="2508250"/>
                                    <a:ext cx="774700" cy="349250"/>
                                  </a:xfrm>
                                  <a:prstGeom prst="downArrow">
                                    <a:avLst>
                                      <a:gd name="adj1" fmla="val 50000"/>
                                      <a:gd name="adj2" fmla="val 50000"/>
                                    </a:avLst>
                                  </a:prstGeom>
                                  <a:solidFill>
                                    <a:srgbClr val="70AD47"/>
                                  </a:solidFill>
                                  <a:ln w="12700" cap="flat" cmpd="sng">
                                    <a:solidFill>
                                      <a:srgbClr val="42719B"/>
                                    </a:solidFill>
                                    <a:prstDash val="solid"/>
                                    <a:miter lim="800000"/>
                                    <a:headEnd type="none" w="sm" len="sm"/>
                                    <a:tailEnd type="none" w="sm" len="sm"/>
                                  </a:ln>
                                </wps:spPr>
                                <wps:txbx>
                                  <w:txbxContent>
                                    <w:p w:rsidR="00AD7F1A" w:rsidRDefault="00AD7F1A">
                                      <w:pPr>
                                        <w:spacing w:after="0" w:line="240" w:lineRule="auto"/>
                                        <w:textDirection w:val="btLr"/>
                                      </w:pPr>
                                    </w:p>
                                  </w:txbxContent>
                                </wps:txbx>
                                <wps:bodyPr spcFirstLastPara="1" wrap="square" lIns="91425" tIns="91425" rIns="91425" bIns="91425" anchor="ctr" anchorCtr="0">
                                  <a:noAutofit/>
                                </wps:bodyPr>
                              </wps:wsp>
                              <wps:wsp>
                                <wps:cNvPr id="21" name="Rectangle: Rounded Corners 21"/>
                                <wps:cNvSpPr/>
                                <wps:spPr>
                                  <a:xfrm>
                                    <a:off x="2330450" y="288925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textDirection w:val="btLr"/>
                                      </w:pPr>
                                      <w:r>
                                        <w:rPr>
                                          <w:color w:val="000000"/>
                                          <w:sz w:val="18"/>
                                        </w:rPr>
                                        <w:t>Publish Call for Competition</w:t>
                                      </w:r>
                                    </w:p>
                                  </w:txbxContent>
                                </wps:txbx>
                                <wps:bodyPr spcFirstLastPara="1" wrap="square" lIns="91425" tIns="45700" rIns="91425" bIns="45700" anchor="ctr" anchorCtr="0">
                                  <a:noAutofit/>
                                </wps:bodyPr>
                              </wps:wsp>
                              <wps:wsp>
                                <wps:cNvPr id="22" name="Rectangle: Rounded Corners 22"/>
                                <wps:cNvSpPr/>
                                <wps:spPr>
                                  <a:xfrm>
                                    <a:off x="2330450" y="328930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textDirection w:val="btLr"/>
                                      </w:pPr>
                                      <w:r>
                                        <w:rPr>
                                          <w:color w:val="000000"/>
                                          <w:sz w:val="18"/>
                                        </w:rPr>
                                        <w:t>Capable DPS Suppliers respond</w:t>
                                      </w:r>
                                    </w:p>
                                  </w:txbxContent>
                                </wps:txbx>
                                <wps:bodyPr spcFirstLastPara="1" wrap="square" lIns="91425" tIns="45700" rIns="91425" bIns="45700" anchor="ctr" anchorCtr="0">
                                  <a:noAutofit/>
                                </wps:bodyPr>
                              </wps:wsp>
                              <wps:wsp>
                                <wps:cNvPr id="23" name="Rectangle: Rounded Corners 23"/>
                                <wps:cNvSpPr/>
                                <wps:spPr>
                                  <a:xfrm>
                                    <a:off x="2330450" y="3683000"/>
                                    <a:ext cx="3240000" cy="360000"/>
                                  </a:xfrm>
                                  <a:prstGeom prst="roundRect">
                                    <a:avLst>
                                      <a:gd name="adj" fmla="val 16667"/>
                                    </a:avLst>
                                  </a:prstGeom>
                                  <a:solidFill>
                                    <a:srgbClr val="F4B081"/>
                                  </a:solidFill>
                                  <a:ln w="12700" cap="flat" cmpd="sng">
                                    <a:solidFill>
                                      <a:srgbClr val="42719B"/>
                                    </a:solidFill>
                                    <a:prstDash val="solid"/>
                                    <a:miter lim="800000"/>
                                    <a:headEnd type="none" w="sm" len="sm"/>
                                    <a:tailEnd type="none" w="sm" len="sm"/>
                                  </a:ln>
                                </wps:spPr>
                                <wps:txbx>
                                  <w:txbxContent>
                                    <w:p w:rsidR="00AD7F1A" w:rsidRDefault="00136824">
                                      <w:pPr>
                                        <w:spacing w:line="258" w:lineRule="auto"/>
                                        <w:textDirection w:val="btLr"/>
                                      </w:pPr>
                                      <w:r>
                                        <w:rPr>
                                          <w:color w:val="000000"/>
                                          <w:sz w:val="18"/>
                                        </w:rPr>
                                        <w:t>Buyers evaluate Supplier responses</w:t>
                                      </w:r>
                                    </w:p>
                                  </w:txbxContent>
                                </wps:txbx>
                                <wps:bodyPr spcFirstLastPara="1" wrap="square" lIns="91425" tIns="45700" rIns="91425" bIns="45700" anchor="ctr" anchorCtr="0">
                                  <a:noAutofit/>
                                </wps:bodyPr>
                              </wps:wsp>
                            </wpg:grpSp>
                          </wpg:grpSp>
                        </wpg:grpSp>
                      </wpg:grpSp>
                    </wpg:wg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http://schemas.microsoft.com/office/tasks/2019/documenttasks" xmlns:cr="http://schemas.microsoft.com/office/comments/2020/reactions">
            <w:drawing>
              <wp:inline distB="0" distT="0" distL="0" distR="0">
                <wp:extent cx="4908550" cy="3629660"/>
                <wp:effectExtent b="0" l="0" r="0" t="0"/>
                <wp:docPr id="30" name="image3.png"/>
                <a:graphic>
                  <a:graphicData uri="http://schemas.openxmlformats.org/drawingml/2006/picture">
                    <pic:pic>
                      <pic:nvPicPr>
                        <pic:cNvPr id="0" name="image3.png"/>
                        <pic:cNvPicPr preferRelativeResize="0"/>
                      </pic:nvPicPr>
                      <pic:blipFill>
                        <a:blip r:embed="rId9"/>
                        <a:srcRect/>
                        <a:stretch>
                          <a:fillRect/>
                        </a:stretch>
                      </pic:blipFill>
                      <pic:spPr>
                        <a:xfrm>
                          <a:off x="0" y="0"/>
                          <a:ext cx="4908550" cy="3629660"/>
                        </a:xfrm>
                        <a:prstGeom prst="rect"/>
                        <a:ln/>
                      </pic:spPr>
                    </pic:pic>
                  </a:graphicData>
                </a:graphic>
              </wp:inline>
            </w:drawing>
          </mc:Fallback>
        </mc:AlternateContent>
      </w:r>
    </w:p>
    <w:p w:rsidR="00AD7F1A" w:rsidRDefault="00AD7F1A"/>
    <w:p w:rsidR="00AD7F1A" w:rsidRDefault="00136824">
      <w:pPr>
        <w:spacing w:before="120" w:after="120" w:line="240" w:lineRule="auto"/>
        <w:ind w:hanging="1"/>
        <w:jc w:val="both"/>
        <w:rPr>
          <w:b/>
        </w:rPr>
      </w:pPr>
      <w:r>
        <w:rPr>
          <w:b/>
        </w:rPr>
        <w:t>How will the services within the DPS for RM3764iii – Cyber Services 3 be organised?</w:t>
      </w:r>
    </w:p>
    <w:p w:rsidR="00AD7F1A" w:rsidRDefault="00136824">
      <w:pPr>
        <w:spacing w:before="120" w:after="120" w:line="240" w:lineRule="auto"/>
        <w:ind w:hanging="1"/>
        <w:jc w:val="both"/>
      </w:pPr>
      <w:r>
        <w:t>The RM3764iii DPS will be organised into distinct categories so:</w:t>
      </w:r>
    </w:p>
    <w:p w:rsidR="00AD7F1A" w:rsidRDefault="00136824">
      <w:pPr>
        <w:numPr>
          <w:ilvl w:val="0"/>
          <w:numId w:val="16"/>
        </w:numPr>
        <w:spacing w:before="120" w:after="0" w:line="240" w:lineRule="auto"/>
        <w:jc w:val="both"/>
      </w:pPr>
      <w:r>
        <w:t>Bidders can indicate all elements relevant to their service offering, and</w:t>
      </w:r>
    </w:p>
    <w:p w:rsidR="00AD7F1A" w:rsidRDefault="00136824">
      <w:pPr>
        <w:numPr>
          <w:ilvl w:val="0"/>
          <w:numId w:val="16"/>
        </w:numPr>
        <w:spacing w:after="120" w:line="240" w:lineRule="auto"/>
        <w:jc w:val="both"/>
      </w:pPr>
      <w:r>
        <w:t>Buyers can filter the elements to produce a shortlist of appointed suppliers to invite to a competition.</w:t>
      </w:r>
    </w:p>
    <w:p w:rsidR="00AD7F1A" w:rsidRDefault="00136824">
      <w:pPr>
        <w:spacing w:before="120" w:after="120" w:line="240" w:lineRule="auto"/>
        <w:ind w:hanging="1"/>
        <w:jc w:val="both"/>
      </w:pPr>
      <w:r>
        <w:t xml:space="preserve">The </w:t>
      </w:r>
      <w:r>
        <w:rPr>
          <w:highlight w:val="white"/>
        </w:rPr>
        <w:t>six (6)</w:t>
      </w:r>
      <w:r>
        <w:t xml:space="preserve"> distinct categories comprise of: </w:t>
      </w:r>
    </w:p>
    <w:p w:rsidR="00AD7F1A" w:rsidRDefault="00136824">
      <w:pPr>
        <w:numPr>
          <w:ilvl w:val="0"/>
          <w:numId w:val="2"/>
        </w:numPr>
        <w:pBdr>
          <w:top w:val="nil"/>
          <w:left w:val="nil"/>
          <w:bottom w:val="nil"/>
          <w:right w:val="nil"/>
          <w:between w:val="nil"/>
        </w:pBdr>
        <w:spacing w:after="0"/>
        <w:ind w:left="714" w:hanging="357"/>
        <w:rPr>
          <w:color w:val="000000"/>
          <w:highlight w:val="white"/>
        </w:rPr>
      </w:pPr>
      <w:r>
        <w:rPr>
          <w:highlight w:val="white"/>
        </w:rPr>
        <w:t>Consultancy and Advice</w:t>
      </w:r>
    </w:p>
    <w:p w:rsidR="00AD7F1A" w:rsidRDefault="00136824">
      <w:pPr>
        <w:numPr>
          <w:ilvl w:val="0"/>
          <w:numId w:val="2"/>
        </w:numPr>
        <w:pBdr>
          <w:top w:val="nil"/>
          <w:left w:val="nil"/>
          <w:bottom w:val="nil"/>
          <w:right w:val="nil"/>
          <w:between w:val="nil"/>
        </w:pBdr>
        <w:spacing w:after="0"/>
        <w:ind w:left="714" w:hanging="357"/>
        <w:rPr>
          <w:color w:val="000000"/>
          <w:highlight w:val="white"/>
        </w:rPr>
      </w:pPr>
      <w:r>
        <w:rPr>
          <w:highlight w:val="white"/>
        </w:rPr>
        <w:t>Penetration testing and IT Health Check</w:t>
      </w:r>
    </w:p>
    <w:p w:rsidR="00AD7F1A" w:rsidRDefault="00136824">
      <w:pPr>
        <w:numPr>
          <w:ilvl w:val="0"/>
          <w:numId w:val="2"/>
        </w:numPr>
        <w:pBdr>
          <w:top w:val="nil"/>
          <w:left w:val="nil"/>
          <w:bottom w:val="nil"/>
          <w:right w:val="nil"/>
          <w:between w:val="nil"/>
        </w:pBdr>
        <w:spacing w:after="0"/>
        <w:ind w:left="714" w:hanging="357"/>
        <w:rPr>
          <w:color w:val="000000"/>
          <w:highlight w:val="white"/>
        </w:rPr>
      </w:pPr>
      <w:r>
        <w:rPr>
          <w:highlight w:val="white"/>
        </w:rPr>
        <w:t>Incident Management</w:t>
      </w:r>
    </w:p>
    <w:p w:rsidR="00AD7F1A" w:rsidRDefault="00136824">
      <w:pPr>
        <w:numPr>
          <w:ilvl w:val="0"/>
          <w:numId w:val="2"/>
        </w:numPr>
        <w:pBdr>
          <w:top w:val="nil"/>
          <w:left w:val="nil"/>
          <w:bottom w:val="nil"/>
          <w:right w:val="nil"/>
          <w:between w:val="nil"/>
        </w:pBdr>
        <w:spacing w:after="0"/>
        <w:ind w:left="714" w:hanging="357"/>
        <w:rPr>
          <w:color w:val="000000"/>
          <w:highlight w:val="white"/>
        </w:rPr>
      </w:pPr>
      <w:r>
        <w:rPr>
          <w:highlight w:val="white"/>
        </w:rPr>
        <w:t>Data destruction and sanitation services</w:t>
      </w:r>
    </w:p>
    <w:p w:rsidR="00AD7F1A" w:rsidRDefault="00136824">
      <w:pPr>
        <w:numPr>
          <w:ilvl w:val="0"/>
          <w:numId w:val="2"/>
        </w:numPr>
        <w:pBdr>
          <w:top w:val="nil"/>
          <w:left w:val="nil"/>
          <w:bottom w:val="nil"/>
          <w:right w:val="nil"/>
          <w:between w:val="nil"/>
        </w:pBdr>
        <w:spacing w:after="0"/>
        <w:ind w:left="714" w:hanging="357"/>
        <w:rPr>
          <w:color w:val="000000"/>
          <w:highlight w:val="white"/>
        </w:rPr>
      </w:pPr>
      <w:r>
        <w:rPr>
          <w:color w:val="000000"/>
          <w:highlight w:val="white"/>
        </w:rPr>
        <w:t>Encryption Services</w:t>
      </w:r>
    </w:p>
    <w:p w:rsidR="00AD7F1A" w:rsidRDefault="00136824">
      <w:pPr>
        <w:numPr>
          <w:ilvl w:val="0"/>
          <w:numId w:val="2"/>
        </w:numPr>
        <w:pBdr>
          <w:top w:val="nil"/>
          <w:left w:val="nil"/>
          <w:bottom w:val="nil"/>
          <w:right w:val="nil"/>
          <w:between w:val="nil"/>
        </w:pBdr>
        <w:spacing w:after="280"/>
        <w:ind w:left="714" w:hanging="357"/>
        <w:rPr>
          <w:color w:val="000000"/>
          <w:highlight w:val="white"/>
        </w:rPr>
      </w:pPr>
      <w:r>
        <w:rPr>
          <w:highlight w:val="white"/>
        </w:rPr>
        <w:t>Managed Security Services</w:t>
      </w:r>
    </w:p>
    <w:p w:rsidR="00AD7F1A" w:rsidRDefault="00AD7F1A">
      <w:pPr>
        <w:pBdr>
          <w:top w:val="nil"/>
          <w:left w:val="nil"/>
          <w:bottom w:val="nil"/>
          <w:right w:val="nil"/>
          <w:between w:val="nil"/>
        </w:pBdr>
        <w:ind w:left="360"/>
        <w:rPr>
          <w:color w:val="000000"/>
          <w:highlight w:val="white"/>
        </w:rPr>
      </w:pPr>
    </w:p>
    <w:p w:rsidR="00AD7F1A" w:rsidRDefault="00136824">
      <w:pPr>
        <w:jc w:val="both"/>
      </w:pPr>
      <w:r>
        <w:t>Full details of th</w:t>
      </w:r>
      <w:r>
        <w:rPr>
          <w:highlight w:val="white"/>
        </w:rPr>
        <w:t xml:space="preserve">e six (6) </w:t>
      </w:r>
      <w:r>
        <w:t xml:space="preserve">distinct categories and the sub-categories can be found at Attachment 1 – Cyber Services 3 Product and Services Matrix. </w:t>
      </w:r>
    </w:p>
    <w:p w:rsidR="00AD7F1A" w:rsidRDefault="00AD7F1A">
      <w:pPr>
        <w:jc w:val="both"/>
      </w:pPr>
    </w:p>
    <w:p w:rsidR="00AD7F1A" w:rsidRDefault="00AD7F1A">
      <w:pPr>
        <w:jc w:val="both"/>
      </w:pPr>
    </w:p>
    <w:p w:rsidR="00AD7F1A" w:rsidRDefault="00AD7F1A">
      <w:pPr>
        <w:jc w:val="both"/>
      </w:pPr>
    </w:p>
    <w:p w:rsidR="00AD7F1A" w:rsidRDefault="00AD7F1A">
      <w:pPr>
        <w:jc w:val="both"/>
      </w:pPr>
    </w:p>
    <w:p w:rsidR="00AD7F1A" w:rsidRDefault="00136824">
      <w:pPr>
        <w:spacing w:before="120" w:after="120" w:line="240" w:lineRule="auto"/>
        <w:ind w:hanging="1"/>
        <w:jc w:val="both"/>
        <w:rPr>
          <w:b/>
        </w:rPr>
      </w:pPr>
      <w:r>
        <w:rPr>
          <w:b/>
        </w:rPr>
        <w:t>Who are the Buyers of the RM3764iii – Cyber Services 3</w:t>
      </w:r>
      <w:r>
        <w:t xml:space="preserve"> </w:t>
      </w:r>
      <w:r>
        <w:rPr>
          <w:b/>
        </w:rPr>
        <w:t>DPS Agreement?</w:t>
      </w:r>
    </w:p>
    <w:p w:rsidR="00AD7F1A" w:rsidRDefault="00136824">
      <w:pPr>
        <w:spacing w:before="120" w:after="120" w:line="240" w:lineRule="auto"/>
        <w:ind w:hanging="1"/>
        <w:jc w:val="both"/>
      </w:pPr>
      <w:r>
        <w:t xml:space="preserve">The RM3764iii – Cyber Services 3 DPS Agreement will be available to all central government and wider public sector buyers as listed in the OJEU notice, including but not limited to the following: </w:t>
      </w:r>
    </w:p>
    <w:p w:rsidR="00AD7F1A" w:rsidRDefault="00136824">
      <w:r>
        <w:t>Central Government:</w:t>
      </w:r>
    </w:p>
    <w:p w:rsidR="00AD7F1A" w:rsidRDefault="00136824">
      <w:pPr>
        <w:numPr>
          <w:ilvl w:val="0"/>
          <w:numId w:val="1"/>
        </w:numPr>
        <w:spacing w:after="0"/>
      </w:pPr>
      <w:r>
        <w:t>Environment</w:t>
      </w:r>
    </w:p>
    <w:p w:rsidR="00AD7F1A" w:rsidRDefault="00136824">
      <w:pPr>
        <w:numPr>
          <w:ilvl w:val="0"/>
          <w:numId w:val="1"/>
        </w:numPr>
        <w:spacing w:after="0"/>
      </w:pPr>
      <w:r>
        <w:t>Defence</w:t>
      </w:r>
    </w:p>
    <w:p w:rsidR="00AD7F1A" w:rsidRDefault="00136824">
      <w:pPr>
        <w:numPr>
          <w:ilvl w:val="0"/>
          <w:numId w:val="1"/>
        </w:numPr>
      </w:pPr>
      <w:r>
        <w:t>Other Central Government</w:t>
      </w:r>
    </w:p>
    <w:p w:rsidR="00AD7F1A" w:rsidRDefault="00136824">
      <w:r>
        <w:t>Wider Public Sector:</w:t>
      </w:r>
    </w:p>
    <w:p w:rsidR="00AD7F1A" w:rsidRDefault="00136824">
      <w:pPr>
        <w:numPr>
          <w:ilvl w:val="0"/>
          <w:numId w:val="15"/>
        </w:numPr>
        <w:spacing w:after="0"/>
      </w:pPr>
      <w:r>
        <w:t>Education</w:t>
      </w:r>
    </w:p>
    <w:p w:rsidR="00AD7F1A" w:rsidRDefault="00136824">
      <w:pPr>
        <w:numPr>
          <w:ilvl w:val="0"/>
          <w:numId w:val="15"/>
        </w:numPr>
        <w:spacing w:after="0"/>
      </w:pPr>
      <w:r>
        <w:t>Fire and Rescue</w:t>
      </w:r>
    </w:p>
    <w:p w:rsidR="00AD7F1A" w:rsidRDefault="00136824">
      <w:pPr>
        <w:numPr>
          <w:ilvl w:val="0"/>
          <w:numId w:val="15"/>
        </w:numPr>
        <w:spacing w:after="0"/>
      </w:pPr>
      <w:r>
        <w:t>Health</w:t>
      </w:r>
    </w:p>
    <w:p w:rsidR="00AD7F1A" w:rsidRDefault="00136824">
      <w:pPr>
        <w:numPr>
          <w:ilvl w:val="0"/>
          <w:numId w:val="15"/>
        </w:numPr>
        <w:spacing w:after="0"/>
      </w:pPr>
      <w:r>
        <w:t>Local Government</w:t>
      </w:r>
    </w:p>
    <w:p w:rsidR="00AD7F1A" w:rsidRDefault="00136824">
      <w:pPr>
        <w:numPr>
          <w:ilvl w:val="0"/>
          <w:numId w:val="15"/>
        </w:numPr>
        <w:spacing w:after="0"/>
      </w:pPr>
      <w:r>
        <w:t>Not for Profit (Charitable)</w:t>
      </w:r>
    </w:p>
    <w:p w:rsidR="00AD7F1A" w:rsidRDefault="00136824">
      <w:pPr>
        <w:numPr>
          <w:ilvl w:val="0"/>
          <w:numId w:val="15"/>
        </w:numPr>
        <w:spacing w:after="0"/>
      </w:pPr>
      <w:r>
        <w:t>Police</w:t>
      </w:r>
    </w:p>
    <w:p w:rsidR="00AD7F1A" w:rsidRDefault="00136824">
      <w:pPr>
        <w:numPr>
          <w:ilvl w:val="0"/>
          <w:numId w:val="15"/>
        </w:numPr>
      </w:pPr>
      <w:r>
        <w:t>Housing Associations</w:t>
      </w:r>
    </w:p>
    <w:p w:rsidR="00AD7F1A" w:rsidRDefault="00136824">
      <w:proofErr w:type="gramStart"/>
      <w:r>
        <w:t>Other</w:t>
      </w:r>
      <w:proofErr w:type="gramEnd"/>
      <w:r>
        <w:t xml:space="preserve"> Wider Public Sector</w:t>
      </w:r>
    </w:p>
    <w:p w:rsidR="00AD7F1A" w:rsidRDefault="00136824">
      <w:pPr>
        <w:spacing w:before="120" w:after="120" w:line="240" w:lineRule="auto"/>
        <w:ind w:hanging="1"/>
      </w:pPr>
      <w:r>
        <w:t>The RM3764iii DPS Agreement is expected to be used by buyers who use an existing public sector agreement offering Cyber Services and also new buyers who choose to purchase Cyber Services via this DPS route.</w:t>
      </w:r>
    </w:p>
    <w:p w:rsidR="00AD7F1A" w:rsidRDefault="00136824">
      <w:pPr>
        <w:rPr>
          <w:b/>
        </w:rPr>
      </w:pPr>
      <w:r>
        <w:rPr>
          <w:b/>
        </w:rPr>
        <w:t>What are the benefits of the RM3764iii – Cyber Services 3 DPS Agreement?</w:t>
      </w:r>
    </w:p>
    <w:tbl>
      <w:tblPr>
        <w:tblStyle w:val="ae"/>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360"/>
      </w:tblGrid>
      <w:tr w:rsidR="00AD7F1A">
        <w:trPr>
          <w:trHeight w:val="4420"/>
        </w:trPr>
        <w:tc>
          <w:tcPr>
            <w:tcW w:w="9360" w:type="dxa"/>
            <w:tcMar>
              <w:top w:w="105" w:type="dxa"/>
              <w:left w:w="105" w:type="dxa"/>
              <w:bottom w:w="105" w:type="dxa"/>
              <w:right w:w="105" w:type="dxa"/>
            </w:tcMar>
          </w:tcPr>
          <w:p w:rsidR="00AD7F1A" w:rsidRDefault="00136824">
            <w:pPr>
              <w:numPr>
                <w:ilvl w:val="0"/>
                <w:numId w:val="3"/>
              </w:numPr>
              <w:pBdr>
                <w:top w:val="nil"/>
                <w:left w:val="nil"/>
                <w:bottom w:val="nil"/>
                <w:right w:val="nil"/>
                <w:between w:val="nil"/>
              </w:pBdr>
              <w:spacing w:before="120" w:after="120"/>
            </w:pPr>
            <w:r>
              <w:rPr>
                <w:color w:val="000000"/>
              </w:rPr>
              <w:lastRenderedPageBreak/>
              <w:t>Simpler, quicker process – accessible for both SMEs and other suppliers seeking opportunities to provide services to the public sector.</w:t>
            </w:r>
          </w:p>
          <w:p w:rsidR="00AD7F1A" w:rsidRDefault="00136824">
            <w:pPr>
              <w:numPr>
                <w:ilvl w:val="0"/>
                <w:numId w:val="3"/>
              </w:numPr>
              <w:pBdr>
                <w:top w:val="nil"/>
                <w:left w:val="nil"/>
                <w:bottom w:val="nil"/>
                <w:right w:val="nil"/>
                <w:between w:val="nil"/>
              </w:pBdr>
              <w:spacing w:before="120" w:after="120"/>
            </w:pPr>
            <w:r>
              <w:rPr>
                <w:color w:val="000000"/>
              </w:rPr>
              <w:t>Automated, electronic process – streamlined electronic process.</w:t>
            </w:r>
          </w:p>
          <w:p w:rsidR="00AD7F1A" w:rsidRDefault="00136824">
            <w:pPr>
              <w:numPr>
                <w:ilvl w:val="0"/>
                <w:numId w:val="3"/>
              </w:numPr>
              <w:pBdr>
                <w:top w:val="nil"/>
                <w:left w:val="nil"/>
                <w:bottom w:val="nil"/>
                <w:right w:val="nil"/>
                <w:between w:val="nil"/>
              </w:pBdr>
              <w:spacing w:before="120" w:after="120"/>
            </w:pPr>
            <w:r>
              <w:rPr>
                <w:color w:val="000000"/>
              </w:rPr>
              <w:t>Flexible - new bidders can apply to join at any point.</w:t>
            </w:r>
          </w:p>
          <w:p w:rsidR="00AD7F1A" w:rsidRDefault="00136824">
            <w:pPr>
              <w:numPr>
                <w:ilvl w:val="0"/>
                <w:numId w:val="3"/>
              </w:numPr>
              <w:pBdr>
                <w:top w:val="nil"/>
                <w:left w:val="nil"/>
                <w:bottom w:val="nil"/>
                <w:right w:val="nil"/>
                <w:between w:val="nil"/>
              </w:pBdr>
              <w:spacing w:before="120" w:after="120"/>
            </w:pPr>
            <w:r>
              <w:rPr>
                <w:color w:val="000000"/>
              </w:rPr>
              <w:t>Choice - increased scope/scale of service offerings and access to public sector business.</w:t>
            </w:r>
          </w:p>
          <w:p w:rsidR="00AD7F1A" w:rsidRDefault="00136824">
            <w:pPr>
              <w:numPr>
                <w:ilvl w:val="0"/>
                <w:numId w:val="3"/>
              </w:numPr>
              <w:pBdr>
                <w:top w:val="nil"/>
                <w:left w:val="nil"/>
                <w:bottom w:val="nil"/>
                <w:right w:val="nil"/>
                <w:between w:val="nil"/>
              </w:pBdr>
              <w:spacing w:before="120" w:after="120"/>
            </w:pPr>
            <w:r>
              <w:rPr>
                <w:color w:val="000000"/>
              </w:rPr>
              <w:t>Filtering of supplier offering - ensures suppliers receive notifications of competitions that are relevant to their service offering.</w:t>
            </w:r>
          </w:p>
          <w:p w:rsidR="00AD7F1A" w:rsidRDefault="00136824">
            <w:pPr>
              <w:numPr>
                <w:ilvl w:val="0"/>
                <w:numId w:val="3"/>
              </w:numPr>
              <w:pBdr>
                <w:top w:val="nil"/>
                <w:left w:val="nil"/>
                <w:bottom w:val="nil"/>
                <w:right w:val="nil"/>
                <w:between w:val="nil"/>
              </w:pBdr>
              <w:spacing w:before="120" w:after="120"/>
            </w:pPr>
            <w:r>
              <w:rPr>
                <w:color w:val="000000"/>
              </w:rPr>
              <w:t xml:space="preserve">Dynamic – Buyers can create bespoke specifications, competitions and contracts. </w:t>
            </w:r>
          </w:p>
          <w:p w:rsidR="00AD7F1A" w:rsidRDefault="00136824">
            <w:pPr>
              <w:numPr>
                <w:ilvl w:val="0"/>
                <w:numId w:val="3"/>
              </w:numPr>
              <w:pBdr>
                <w:top w:val="nil"/>
                <w:left w:val="nil"/>
                <w:bottom w:val="nil"/>
                <w:right w:val="nil"/>
                <w:between w:val="nil"/>
              </w:pBdr>
              <w:spacing w:before="120" w:after="120"/>
            </w:pPr>
            <w:r>
              <w:rPr>
                <w:color w:val="000000"/>
              </w:rPr>
              <w:t>Supports localism and Social Value - enabling appointed suppliers to bid for business either locally, regionally or nationally.</w:t>
            </w:r>
          </w:p>
          <w:p w:rsidR="00AD7F1A" w:rsidRDefault="00136824">
            <w:pPr>
              <w:numPr>
                <w:ilvl w:val="0"/>
                <w:numId w:val="3"/>
              </w:numPr>
              <w:pBdr>
                <w:top w:val="nil"/>
                <w:left w:val="nil"/>
                <w:bottom w:val="nil"/>
                <w:right w:val="nil"/>
                <w:between w:val="nil"/>
              </w:pBdr>
              <w:spacing w:before="120" w:after="120"/>
            </w:pPr>
            <w:r>
              <w:rPr>
                <w:color w:val="000000"/>
              </w:rPr>
              <w:t xml:space="preserve">Savings – drives savings through the ‘Call for Competition’ procedure. </w:t>
            </w:r>
          </w:p>
          <w:p w:rsidR="00AD7F1A" w:rsidRDefault="00136824">
            <w:pPr>
              <w:numPr>
                <w:ilvl w:val="0"/>
                <w:numId w:val="3"/>
              </w:numPr>
              <w:pBdr>
                <w:top w:val="nil"/>
                <w:left w:val="nil"/>
                <w:bottom w:val="nil"/>
                <w:right w:val="nil"/>
                <w:between w:val="nil"/>
              </w:pBdr>
              <w:spacing w:before="120" w:after="120"/>
            </w:pPr>
            <w:r>
              <w:rPr>
                <w:color w:val="000000"/>
              </w:rPr>
              <w:t>Efficiencies – reduces Buyers costs and process cycle time</w:t>
            </w:r>
          </w:p>
        </w:tc>
      </w:tr>
    </w:tbl>
    <w:p w:rsidR="00AD7F1A" w:rsidRDefault="00136824">
      <w:pPr>
        <w:spacing w:before="120" w:after="120"/>
        <w:ind w:left="37"/>
        <w:jc w:val="both"/>
        <w:rPr>
          <w:b/>
        </w:rPr>
      </w:pPr>
      <w:r>
        <w:rPr>
          <w:b/>
        </w:rPr>
        <w:t>What is the estimated value of the RM3764iii – Cyber Services 3 DPS Agreement?</w:t>
      </w:r>
    </w:p>
    <w:p w:rsidR="00AD7F1A" w:rsidRDefault="00136824">
      <w:pPr>
        <w:pStyle w:val="Heading2"/>
        <w:ind w:left="0" w:firstLine="0"/>
        <w:rPr>
          <w:color w:val="000000"/>
        </w:rPr>
      </w:pPr>
      <w:r>
        <w:rPr>
          <w:color w:val="000000"/>
        </w:rPr>
        <w:t>The estimated value for this agreement is £800 million excluding VAT which is detailed in the contract notice. This will comprise of multiple contracts with multiple suppliers, however there is no guarantee of work or spend under this RM3764iii DPS Agreement.</w:t>
      </w:r>
    </w:p>
    <w:p w:rsidR="00AD7F1A" w:rsidRDefault="00AD7F1A"/>
    <w:p w:rsidR="00AD7F1A" w:rsidRDefault="00136824">
      <w:pPr>
        <w:pStyle w:val="Heading2"/>
        <w:ind w:left="851" w:hanging="851"/>
        <w:rPr>
          <w:b/>
          <w:color w:val="000000"/>
        </w:rPr>
      </w:pPr>
      <w:bookmarkStart w:id="4" w:name="_heading=h.9f09sqm4v4hi" w:colFirst="0" w:colLast="0"/>
      <w:bookmarkEnd w:id="4"/>
      <w:r>
        <w:rPr>
          <w:b/>
          <w:color w:val="000000"/>
        </w:rPr>
        <w:t xml:space="preserve">1.3 </w:t>
      </w:r>
      <w:r>
        <w:rPr>
          <w:b/>
          <w:color w:val="000000"/>
        </w:rPr>
        <w:tab/>
        <w:t xml:space="preserve">The current situation </w:t>
      </w:r>
    </w:p>
    <w:p w:rsidR="00AD7F1A" w:rsidRDefault="00136824">
      <w:pPr>
        <w:spacing w:before="120" w:after="120" w:line="240" w:lineRule="auto"/>
        <w:jc w:val="both"/>
      </w:pPr>
      <w:r>
        <w:t>This DPS Agreement is a replacement for the Cyber Services 2 Framework Agreement.</w:t>
      </w:r>
    </w:p>
    <w:p w:rsidR="00AD7F1A" w:rsidRDefault="00136824">
      <w:r>
        <w:rPr>
          <w:highlight w:val="white"/>
        </w:rPr>
        <w:t>G-Cloud no longer offers a route to market for NCSC assured suppliers. CCS frameworks for Digital Outcomes and Solutions (DOS) and Technology Services 2 both offer cyber security services as part of a larger requirement (for example, from a supplier contracted to complete an IT transformation project). These routes are not available for standalone cyber security services which will only be offered through this DPS Agreement.</w:t>
      </w:r>
    </w:p>
    <w:p w:rsidR="00AD7F1A" w:rsidRDefault="00136824">
      <w:pPr>
        <w:pStyle w:val="Heading1"/>
        <w:numPr>
          <w:ilvl w:val="0"/>
          <w:numId w:val="17"/>
        </w:numPr>
        <w:ind w:left="851" w:hanging="851"/>
        <w:rPr>
          <w:b/>
          <w:color w:val="000000"/>
        </w:rPr>
      </w:pPr>
      <w:bookmarkStart w:id="5" w:name="_heading=h.bm6pp6ar3v5y" w:colFirst="0" w:colLast="0"/>
      <w:bookmarkEnd w:id="5"/>
      <w:r>
        <w:rPr>
          <w:b/>
          <w:color w:val="000000"/>
        </w:rPr>
        <w:t>Specification (DPS Schedule 1 (Specification))</w:t>
      </w:r>
    </w:p>
    <w:p w:rsidR="00AD7F1A" w:rsidRDefault="00136824">
      <w:pPr>
        <w:pStyle w:val="Heading1"/>
        <w:numPr>
          <w:ilvl w:val="0"/>
          <w:numId w:val="4"/>
        </w:numPr>
        <w:ind w:left="851" w:hanging="851"/>
        <w:rPr>
          <w:b/>
          <w:color w:val="000000"/>
          <w:sz w:val="24"/>
          <w:szCs w:val="24"/>
        </w:rPr>
      </w:pPr>
      <w:bookmarkStart w:id="6" w:name="_heading=h.30j0zll" w:colFirst="0" w:colLast="0"/>
      <w:bookmarkEnd w:id="6"/>
      <w:r>
        <w:rPr>
          <w:b/>
          <w:color w:val="000000"/>
          <w:sz w:val="24"/>
          <w:szCs w:val="24"/>
        </w:rPr>
        <w:t>Our priorities</w:t>
      </w:r>
    </w:p>
    <w:p w:rsidR="00AD7F1A" w:rsidRDefault="00136824">
      <w:pPr>
        <w:spacing w:before="120" w:after="120" w:line="240" w:lineRule="auto"/>
        <w:ind w:hanging="1"/>
        <w:jc w:val="both"/>
      </w:pPr>
      <w:r>
        <w:t>Crown Commercial Service (CCS) has key priorities:</w:t>
      </w:r>
    </w:p>
    <w:p w:rsidR="00AD7F1A" w:rsidRDefault="00136824">
      <w:pPr>
        <w:numPr>
          <w:ilvl w:val="0"/>
          <w:numId w:val="7"/>
        </w:numPr>
        <w:spacing w:before="120" w:after="0" w:line="240" w:lineRule="auto"/>
        <w:ind w:hanging="720"/>
        <w:jc w:val="both"/>
      </w:pPr>
      <w:r>
        <w:t>To maximise commercial benefits;</w:t>
      </w:r>
    </w:p>
    <w:p w:rsidR="00AD7F1A" w:rsidRDefault="00136824">
      <w:pPr>
        <w:numPr>
          <w:ilvl w:val="0"/>
          <w:numId w:val="7"/>
        </w:numPr>
        <w:spacing w:after="0" w:line="240" w:lineRule="auto"/>
        <w:ind w:hanging="720"/>
        <w:jc w:val="both"/>
      </w:pPr>
      <w:r>
        <w:t>To focus on the Customer (Buyer)</w:t>
      </w:r>
    </w:p>
    <w:p w:rsidR="00AD7F1A" w:rsidRDefault="00136824">
      <w:pPr>
        <w:numPr>
          <w:ilvl w:val="0"/>
          <w:numId w:val="7"/>
        </w:numPr>
        <w:spacing w:after="120" w:line="240" w:lineRule="auto"/>
        <w:ind w:hanging="720"/>
        <w:jc w:val="both"/>
      </w:pPr>
      <w:r>
        <w:t>To help strengthen the UK economy through effective policy delivery.</w:t>
      </w:r>
    </w:p>
    <w:p w:rsidR="00AD7F1A" w:rsidRDefault="00136824">
      <w:pPr>
        <w:spacing w:before="120" w:after="120" w:line="240" w:lineRule="auto"/>
        <w:ind w:hanging="1"/>
        <w:jc w:val="both"/>
      </w:pPr>
      <w:r>
        <w:lastRenderedPageBreak/>
        <w:t>The DPS for Cyber Security Services will support these priorities. It offers a route to quality Services provided by suppliers who can offer a range of experience and industry standards.</w:t>
      </w:r>
    </w:p>
    <w:p w:rsidR="00AD7F1A" w:rsidRDefault="00136824">
      <w:pPr>
        <w:spacing w:before="120" w:after="120" w:line="240" w:lineRule="auto"/>
        <w:ind w:hanging="1"/>
        <w:jc w:val="both"/>
      </w:pPr>
      <w:r>
        <w:t xml:space="preserve">The DPS is a dynamic commercial model, which suppliers can join via a straightforward selection process. Buyers will be able to access a wider market of suppliers, obtain more choice and achieve better value.  </w:t>
      </w:r>
    </w:p>
    <w:p w:rsidR="00AD7F1A" w:rsidRDefault="00136824">
      <w:pPr>
        <w:spacing w:before="120" w:after="120" w:line="240" w:lineRule="auto"/>
        <w:ind w:hanging="1"/>
        <w:jc w:val="both"/>
      </w:pPr>
      <w:r>
        <w:t xml:space="preserve">The range of services available via this DPS will help Buyers to protect public assets and comply with regulatory requirements for protecting citizens’ data.      </w:t>
      </w:r>
    </w:p>
    <w:p w:rsidR="00AD7F1A" w:rsidRDefault="00AD7F1A">
      <w:pPr>
        <w:spacing w:before="120" w:after="120" w:line="240" w:lineRule="auto"/>
        <w:ind w:hanging="1"/>
        <w:jc w:val="both"/>
      </w:pPr>
    </w:p>
    <w:p w:rsidR="00AD7F1A" w:rsidRDefault="00136824">
      <w:pPr>
        <w:spacing w:before="120" w:after="120" w:line="240" w:lineRule="auto"/>
        <w:ind w:hanging="1"/>
        <w:jc w:val="both"/>
      </w:pPr>
      <w:r>
        <w:t xml:space="preserve"> </w:t>
      </w:r>
    </w:p>
    <w:p w:rsidR="00AD7F1A" w:rsidRDefault="00136824">
      <w:pPr>
        <w:pStyle w:val="Heading1"/>
        <w:numPr>
          <w:ilvl w:val="0"/>
          <w:numId w:val="4"/>
        </w:numPr>
        <w:ind w:left="851" w:hanging="851"/>
        <w:rPr>
          <w:b/>
          <w:color w:val="000000"/>
          <w:sz w:val="24"/>
          <w:szCs w:val="24"/>
        </w:rPr>
      </w:pPr>
      <w:bookmarkStart w:id="7" w:name="_heading=h.i0qbl4ggtuma" w:colFirst="0" w:colLast="0"/>
      <w:bookmarkEnd w:id="7"/>
      <w:r>
        <w:rPr>
          <w:b/>
          <w:color w:val="000000"/>
          <w:sz w:val="24"/>
          <w:szCs w:val="24"/>
        </w:rPr>
        <w:t xml:space="preserve">Scope </w:t>
      </w:r>
    </w:p>
    <w:p w:rsidR="00AD7F1A" w:rsidRDefault="00136824">
      <w:pPr>
        <w:tabs>
          <w:tab w:val="left" w:pos="709"/>
        </w:tabs>
        <w:spacing w:before="120" w:after="120" w:line="240" w:lineRule="auto"/>
        <w:jc w:val="both"/>
      </w:pPr>
      <w:r>
        <w:t>This section sets out what CCS and our Buyers want.</w:t>
      </w:r>
    </w:p>
    <w:p w:rsidR="00AD7F1A" w:rsidRDefault="00136824">
      <w:pPr>
        <w:tabs>
          <w:tab w:val="left" w:pos="709"/>
        </w:tabs>
        <w:spacing w:before="120" w:after="120" w:line="240" w:lineRule="auto"/>
        <w:jc w:val="both"/>
      </w:pPr>
      <w:r>
        <w:t xml:space="preserve">The Supplier must only provide the Deliverables for the Filter Categories to which they have been appointed. </w:t>
      </w:r>
    </w:p>
    <w:p w:rsidR="00AD7F1A" w:rsidRDefault="00136824">
      <w:pPr>
        <w:tabs>
          <w:tab w:val="left" w:pos="709"/>
        </w:tabs>
        <w:spacing w:before="120" w:after="120" w:line="240" w:lineRule="auto"/>
        <w:jc w:val="both"/>
      </w:pPr>
      <w:r>
        <w:t>For all Filter Categories and/or Deliverables, the Supplier must help Buyers comply with any specific applicable Standards of the Buyer.</w:t>
      </w:r>
    </w:p>
    <w:p w:rsidR="00AD7F1A" w:rsidRDefault="00136824">
      <w:pPr>
        <w:spacing w:before="120" w:after="120" w:line="240" w:lineRule="auto"/>
        <w:ind w:hanging="1"/>
        <w:jc w:val="both"/>
      </w:pPr>
      <w:r>
        <w:t>There are four Filter Categories available on the DPS:</w:t>
      </w:r>
    </w:p>
    <w:p w:rsidR="00AD7F1A" w:rsidRDefault="00136824">
      <w:pPr>
        <w:numPr>
          <w:ilvl w:val="0"/>
          <w:numId w:val="6"/>
        </w:numPr>
        <w:spacing w:after="0"/>
        <w:ind w:left="851" w:hanging="851"/>
      </w:pPr>
      <w:r>
        <w:t>Assured NCSC Services / Non-assured NCSC Services</w:t>
      </w:r>
    </w:p>
    <w:p w:rsidR="00AD7F1A" w:rsidRDefault="00136824">
      <w:pPr>
        <w:numPr>
          <w:ilvl w:val="0"/>
          <w:numId w:val="6"/>
        </w:numPr>
        <w:spacing w:after="0"/>
        <w:ind w:left="851" w:hanging="851"/>
      </w:pPr>
      <w:r>
        <w:t>Service Types</w:t>
      </w:r>
    </w:p>
    <w:p w:rsidR="00AD7F1A" w:rsidRDefault="00136824">
      <w:pPr>
        <w:numPr>
          <w:ilvl w:val="0"/>
          <w:numId w:val="6"/>
        </w:numPr>
        <w:spacing w:after="0"/>
        <w:ind w:left="851" w:hanging="851"/>
      </w:pPr>
      <w:r>
        <w:t>Accreditations and Standards available (in addition to NCSC)</w:t>
      </w:r>
    </w:p>
    <w:p w:rsidR="00AD7F1A" w:rsidRDefault="00136824">
      <w:pPr>
        <w:numPr>
          <w:ilvl w:val="0"/>
          <w:numId w:val="6"/>
        </w:numPr>
        <w:spacing w:after="0"/>
        <w:ind w:left="851" w:hanging="851"/>
      </w:pPr>
      <w:r>
        <w:t xml:space="preserve">Sectors / Experience </w:t>
      </w:r>
    </w:p>
    <w:p w:rsidR="00AD7F1A" w:rsidRDefault="00136824">
      <w:pPr>
        <w:pBdr>
          <w:top w:val="nil"/>
          <w:left w:val="nil"/>
          <w:bottom w:val="nil"/>
          <w:right w:val="nil"/>
          <w:between w:val="nil"/>
        </w:pBdr>
        <w:spacing w:before="240" w:after="240" w:line="240" w:lineRule="auto"/>
        <w:rPr>
          <w:color w:val="000000"/>
        </w:rPr>
      </w:pPr>
      <w:r>
        <w:rPr>
          <w:color w:val="000000"/>
        </w:rPr>
        <w:t>The Supplier must only select NCSC Assured for the services that they have been certified to provide, which include Cyber Security Consultancies, Certified Training, CHECK, Assured Services (CAS), Cyber Incident Response (CIR) and Certification.</w:t>
      </w:r>
    </w:p>
    <w:p w:rsidR="00AD7F1A" w:rsidRDefault="00136824">
      <w:pPr>
        <w:pBdr>
          <w:top w:val="nil"/>
          <w:left w:val="nil"/>
          <w:bottom w:val="nil"/>
          <w:right w:val="nil"/>
          <w:between w:val="nil"/>
        </w:pBdr>
        <w:spacing w:before="240" w:after="240" w:line="240" w:lineRule="auto"/>
        <w:rPr>
          <w:color w:val="000000"/>
        </w:rPr>
      </w:pPr>
      <w:r>
        <w:rPr>
          <w:color w:val="000000"/>
        </w:rPr>
        <w:t xml:space="preserve">If the Supplier has specialists that are members of the Cyber Certified Professionals (CCP) scheme they </w:t>
      </w:r>
      <w:r>
        <w:rPr>
          <w:b/>
          <w:color w:val="000000"/>
        </w:rPr>
        <w:t>will not</w:t>
      </w:r>
      <w:r>
        <w:rPr>
          <w:color w:val="000000"/>
        </w:rPr>
        <w:t xml:space="preserve"> be able to deliver services under the NCSC Assured route unless they are certified as a consultancy. For more information on registering as a consultancy please see </w:t>
      </w:r>
      <w:hyperlink r:id="rId12">
        <w:r>
          <w:rPr>
            <w:color w:val="1155CC"/>
            <w:u w:val="single"/>
          </w:rPr>
          <w:t>https://www.ncsc.gov.uk/information/ncsc-certified-cyber-security-consultancy</w:t>
        </w:r>
      </w:hyperlink>
      <w:r>
        <w:rPr>
          <w:color w:val="000000"/>
        </w:rPr>
        <w:t>.</w:t>
      </w:r>
    </w:p>
    <w:p w:rsidR="00AD7F1A" w:rsidRDefault="00136824">
      <w:pPr>
        <w:pBdr>
          <w:top w:val="nil"/>
          <w:left w:val="nil"/>
          <w:bottom w:val="nil"/>
          <w:right w:val="nil"/>
          <w:between w:val="nil"/>
        </w:pBdr>
        <w:spacing w:before="240" w:after="240" w:line="240" w:lineRule="auto"/>
        <w:rPr>
          <w:color w:val="000000"/>
        </w:rPr>
      </w:pPr>
      <w:r>
        <w:rPr>
          <w:b/>
          <w:i/>
          <w:color w:val="222222"/>
          <w:highlight w:val="white"/>
        </w:rPr>
        <w:t>Suppliers should ensure they only select ‘NCSC Assured' if they CAN provide NCSC Assured services. In the event suppliers select this option in error, this may result in a supplier missing out on an opportunity, and will be deemed a supplier fault NOT CCS.</w:t>
      </w:r>
    </w:p>
    <w:p w:rsidR="00AD7F1A" w:rsidRDefault="00136824">
      <w:pPr>
        <w:pStyle w:val="Heading1"/>
        <w:numPr>
          <w:ilvl w:val="0"/>
          <w:numId w:val="4"/>
        </w:numPr>
        <w:ind w:left="851" w:hanging="851"/>
        <w:rPr>
          <w:b/>
          <w:color w:val="000000"/>
          <w:sz w:val="24"/>
          <w:szCs w:val="24"/>
        </w:rPr>
      </w:pPr>
      <w:bookmarkStart w:id="8" w:name="_heading=h.kk0hrax4d83e" w:colFirst="0" w:colLast="0"/>
      <w:bookmarkEnd w:id="8"/>
      <w:r>
        <w:rPr>
          <w:b/>
          <w:color w:val="000000"/>
          <w:sz w:val="24"/>
          <w:szCs w:val="24"/>
        </w:rPr>
        <w:t>Service Types</w:t>
      </w:r>
    </w:p>
    <w:p w:rsidR="00AD7F1A" w:rsidRDefault="00136824">
      <w:pPr>
        <w:widowControl w:val="0"/>
        <w:spacing w:after="0" w:line="240" w:lineRule="auto"/>
        <w:jc w:val="both"/>
      </w:pPr>
      <w:r>
        <w:t xml:space="preserve">The Supplier has demonstrated that they can supply Services within at least one of the following Service Types as documented in the DPS Appointment Form associated with their DPS Contract </w:t>
      </w:r>
    </w:p>
    <w:p w:rsidR="00AD7F1A" w:rsidRDefault="00AD7F1A">
      <w:pPr>
        <w:widowControl w:val="0"/>
        <w:spacing w:after="0" w:line="240" w:lineRule="auto"/>
        <w:rPr>
          <w:sz w:val="22"/>
          <w:szCs w:val="22"/>
        </w:rPr>
      </w:pPr>
    </w:p>
    <w:tbl>
      <w:tblPr>
        <w:tblStyle w:val="af"/>
        <w:tblW w:w="934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60"/>
        <w:gridCol w:w="2175"/>
        <w:gridCol w:w="5311"/>
      </w:tblGrid>
      <w:tr w:rsidR="00AD7F1A">
        <w:trPr>
          <w:trHeight w:val="420"/>
        </w:trPr>
        <w:tc>
          <w:tcPr>
            <w:tcW w:w="4035" w:type="dxa"/>
            <w:gridSpan w:val="2"/>
            <w:shd w:val="clear" w:color="auto" w:fill="auto"/>
            <w:tcMar>
              <w:top w:w="100" w:type="dxa"/>
              <w:left w:w="100" w:type="dxa"/>
              <w:bottom w:w="100" w:type="dxa"/>
              <w:right w:w="100" w:type="dxa"/>
            </w:tcMar>
          </w:tcPr>
          <w:p w:rsidR="00AD7F1A" w:rsidRDefault="00136824">
            <w:pPr>
              <w:widowControl w:val="0"/>
              <w:spacing w:after="0"/>
              <w:jc w:val="center"/>
              <w:rPr>
                <w:b/>
                <w:highlight w:val="white"/>
              </w:rPr>
            </w:pPr>
            <w:r>
              <w:rPr>
                <w:b/>
                <w:highlight w:val="white"/>
              </w:rPr>
              <w:t>Category/ Service type</w:t>
            </w:r>
          </w:p>
        </w:tc>
        <w:tc>
          <w:tcPr>
            <w:tcW w:w="5311" w:type="dxa"/>
            <w:shd w:val="clear" w:color="auto" w:fill="auto"/>
            <w:tcMar>
              <w:top w:w="100" w:type="dxa"/>
              <w:left w:w="100" w:type="dxa"/>
              <w:bottom w:w="100" w:type="dxa"/>
              <w:right w:w="100" w:type="dxa"/>
            </w:tcMar>
          </w:tcPr>
          <w:p w:rsidR="00AD7F1A" w:rsidRDefault="00136824">
            <w:pPr>
              <w:widowControl w:val="0"/>
              <w:spacing w:after="0"/>
              <w:jc w:val="center"/>
              <w:rPr>
                <w:b/>
              </w:rPr>
            </w:pPr>
            <w:r>
              <w:rPr>
                <w:b/>
              </w:rPr>
              <w:t>Service Description/ Example</w:t>
            </w:r>
          </w:p>
        </w:tc>
      </w:tr>
      <w:tr w:rsidR="00AD7F1A">
        <w:trPr>
          <w:trHeight w:val="420"/>
        </w:trPr>
        <w:tc>
          <w:tcPr>
            <w:tcW w:w="1860" w:type="dxa"/>
            <w:vMerge w:val="restart"/>
            <w:shd w:val="clear" w:color="auto" w:fill="auto"/>
            <w:tcMar>
              <w:top w:w="100" w:type="dxa"/>
              <w:left w:w="100" w:type="dxa"/>
              <w:bottom w:w="100" w:type="dxa"/>
              <w:right w:w="100" w:type="dxa"/>
            </w:tcMar>
          </w:tcPr>
          <w:p w:rsidR="00AD7F1A" w:rsidRDefault="00AD7F1A">
            <w:pPr>
              <w:widowControl w:val="0"/>
              <w:spacing w:after="0"/>
              <w:jc w:val="center"/>
              <w:rPr>
                <w:highlight w:val="white"/>
              </w:rPr>
            </w:pPr>
          </w:p>
          <w:p w:rsidR="00AD7F1A" w:rsidRDefault="00AD7F1A">
            <w:pPr>
              <w:widowControl w:val="0"/>
              <w:spacing w:after="0"/>
              <w:jc w:val="center"/>
              <w:rPr>
                <w:highlight w:val="white"/>
              </w:rPr>
            </w:pPr>
          </w:p>
          <w:p w:rsidR="00AD7F1A" w:rsidRDefault="00AD7F1A">
            <w:pPr>
              <w:widowControl w:val="0"/>
              <w:spacing w:after="0"/>
              <w:jc w:val="center"/>
              <w:rPr>
                <w:highlight w:val="white"/>
              </w:rPr>
            </w:pPr>
          </w:p>
          <w:p w:rsidR="00AD7F1A" w:rsidRDefault="00AD7F1A">
            <w:pPr>
              <w:widowControl w:val="0"/>
              <w:spacing w:after="0"/>
              <w:jc w:val="center"/>
              <w:rPr>
                <w:highlight w:val="white"/>
              </w:rPr>
            </w:pPr>
          </w:p>
          <w:p w:rsidR="00AD7F1A" w:rsidRDefault="00AD7F1A">
            <w:pPr>
              <w:widowControl w:val="0"/>
              <w:spacing w:after="0"/>
              <w:jc w:val="center"/>
              <w:rPr>
                <w:highlight w:val="white"/>
              </w:rPr>
            </w:pPr>
          </w:p>
          <w:p w:rsidR="00AD7F1A" w:rsidRDefault="00AD7F1A">
            <w:pPr>
              <w:widowControl w:val="0"/>
              <w:spacing w:after="0"/>
              <w:jc w:val="center"/>
              <w:rPr>
                <w:highlight w:val="white"/>
              </w:rPr>
            </w:pPr>
          </w:p>
          <w:p w:rsidR="00AD7F1A" w:rsidRDefault="00AD7F1A">
            <w:pPr>
              <w:widowControl w:val="0"/>
              <w:spacing w:after="0"/>
              <w:jc w:val="center"/>
              <w:rPr>
                <w:highlight w:val="white"/>
              </w:rPr>
            </w:pPr>
          </w:p>
          <w:p w:rsidR="00AD7F1A" w:rsidRDefault="00136824">
            <w:pPr>
              <w:widowControl w:val="0"/>
              <w:spacing w:after="0"/>
              <w:jc w:val="center"/>
              <w:rPr>
                <w:highlight w:val="white"/>
              </w:rPr>
            </w:pPr>
            <w:r>
              <w:rPr>
                <w:highlight w:val="white"/>
              </w:rPr>
              <w:t>Consultancy and Advice</w:t>
            </w:r>
          </w:p>
        </w:tc>
        <w:tc>
          <w:tcPr>
            <w:tcW w:w="2175" w:type="dxa"/>
            <w:shd w:val="clear" w:color="auto" w:fill="auto"/>
            <w:tcMar>
              <w:top w:w="100" w:type="dxa"/>
              <w:left w:w="100" w:type="dxa"/>
              <w:bottom w:w="100" w:type="dxa"/>
              <w:right w:w="100" w:type="dxa"/>
            </w:tcMar>
            <w:vAlign w:val="center"/>
          </w:tcPr>
          <w:p w:rsidR="00AD7F1A" w:rsidRPr="009F4644" w:rsidRDefault="00136824">
            <w:pPr>
              <w:widowControl w:val="0"/>
              <w:spacing w:after="0"/>
              <w:rPr>
                <w:highlight w:val="white"/>
              </w:rPr>
            </w:pPr>
            <w:r w:rsidRPr="009F4644">
              <w:rPr>
                <w:highlight w:val="white"/>
              </w:rPr>
              <w:t>Post Quantum Cryptography (Advice)</w:t>
            </w:r>
          </w:p>
        </w:tc>
        <w:tc>
          <w:tcPr>
            <w:tcW w:w="5311" w:type="dxa"/>
            <w:shd w:val="clear" w:color="auto" w:fill="auto"/>
            <w:tcMar>
              <w:top w:w="100" w:type="dxa"/>
              <w:left w:w="100" w:type="dxa"/>
              <w:bottom w:w="100" w:type="dxa"/>
              <w:right w:w="100" w:type="dxa"/>
            </w:tcMar>
          </w:tcPr>
          <w:p w:rsidR="00AD7F1A" w:rsidRPr="009F4644" w:rsidRDefault="00136824">
            <w:pPr>
              <w:widowControl w:val="0"/>
              <w:spacing w:after="0"/>
              <w:rPr>
                <w:color w:val="000000"/>
              </w:rPr>
            </w:pPr>
            <w:r w:rsidRPr="009F4644">
              <w:t>NCSC assured service - must be an assured supplier for the Post Quantum Cryptography Advice scheme</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rPr>
                <w:color w:val="000000"/>
              </w:rPr>
            </w:pPr>
          </w:p>
        </w:tc>
        <w:tc>
          <w:tcPr>
            <w:tcW w:w="2175" w:type="dxa"/>
            <w:shd w:val="clear" w:color="auto" w:fill="auto"/>
            <w:tcMar>
              <w:top w:w="100" w:type="dxa"/>
              <w:left w:w="100" w:type="dxa"/>
              <w:bottom w:w="100" w:type="dxa"/>
              <w:right w:w="100" w:type="dxa"/>
            </w:tcMar>
            <w:vAlign w:val="center"/>
          </w:tcPr>
          <w:p w:rsidR="00AD7F1A" w:rsidRPr="009F4644" w:rsidRDefault="00136824">
            <w:pPr>
              <w:widowControl w:val="0"/>
              <w:spacing w:after="0"/>
              <w:rPr>
                <w:highlight w:val="white"/>
              </w:rPr>
            </w:pPr>
            <w:r w:rsidRPr="009F4644">
              <w:rPr>
                <w:highlight w:val="white"/>
              </w:rPr>
              <w:t>Post Quantum Cryptography (Discover &amp; Migration Planning)</w:t>
            </w:r>
          </w:p>
        </w:tc>
        <w:tc>
          <w:tcPr>
            <w:tcW w:w="5311" w:type="dxa"/>
            <w:shd w:val="clear" w:color="auto" w:fill="auto"/>
            <w:tcMar>
              <w:top w:w="100" w:type="dxa"/>
              <w:left w:w="100" w:type="dxa"/>
              <w:bottom w:w="100" w:type="dxa"/>
              <w:right w:w="100" w:type="dxa"/>
            </w:tcMar>
          </w:tcPr>
          <w:p w:rsidR="00AD7F1A" w:rsidRPr="009F4644" w:rsidRDefault="00136824">
            <w:pPr>
              <w:widowControl w:val="0"/>
              <w:spacing w:after="0"/>
              <w:rPr>
                <w:color w:val="000000"/>
              </w:rPr>
            </w:pPr>
            <w:r w:rsidRPr="009F4644">
              <w:t>NCSC assured service - must be an assured supplier for the Post Quantum Cryptography Discover &amp; Migration Planning scheme</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rPr>
                <w:color w:val="000000"/>
              </w:rPr>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Cyber Resilience Audit</w:t>
            </w:r>
          </w:p>
        </w:tc>
        <w:tc>
          <w:tcPr>
            <w:tcW w:w="5311" w:type="dxa"/>
            <w:shd w:val="clear" w:color="auto" w:fill="auto"/>
            <w:tcMar>
              <w:top w:w="100" w:type="dxa"/>
              <w:left w:w="100" w:type="dxa"/>
              <w:bottom w:w="100" w:type="dxa"/>
              <w:right w:w="100" w:type="dxa"/>
            </w:tcMar>
          </w:tcPr>
          <w:p w:rsidR="00AD7F1A" w:rsidRDefault="00136824">
            <w:pPr>
              <w:widowControl w:val="0"/>
              <w:spacing w:after="0"/>
              <w:rPr>
                <w:color w:val="000000"/>
              </w:rPr>
            </w:pPr>
            <w:r>
              <w:rPr>
                <w:color w:val="000000"/>
              </w:rPr>
              <w:t>Independent assurance of Cyber Assessment Framework (CAF) based audits.</w:t>
            </w:r>
          </w:p>
          <w:p w:rsidR="00AD7F1A" w:rsidRDefault="00AD7F1A">
            <w:pPr>
              <w:widowControl w:val="0"/>
              <w:spacing w:after="0"/>
            </w:pP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proofErr w:type="spellStart"/>
            <w:r>
              <w:rPr>
                <w:highlight w:val="white"/>
              </w:rPr>
              <w:t>GovAssure</w:t>
            </w:r>
            <w:proofErr w:type="spellEnd"/>
          </w:p>
        </w:tc>
        <w:tc>
          <w:tcPr>
            <w:tcW w:w="5311" w:type="dxa"/>
            <w:shd w:val="clear" w:color="auto" w:fill="auto"/>
            <w:tcMar>
              <w:top w:w="100" w:type="dxa"/>
              <w:left w:w="100" w:type="dxa"/>
              <w:bottom w:w="100" w:type="dxa"/>
              <w:right w:w="100" w:type="dxa"/>
            </w:tcMar>
          </w:tcPr>
          <w:p w:rsidR="00AD7F1A" w:rsidRDefault="00136824">
            <w:pPr>
              <w:widowControl w:val="0"/>
              <w:spacing w:after="0"/>
            </w:pPr>
            <w:r>
              <w:rPr>
                <w:color w:val="000000"/>
              </w:rPr>
              <w:t>Independent assurance review of a government organisations self-assessed return against the Cyber Assessment Framework (CAF) by a provider that meets the minimum security clearance and assurance requirements (detailed below)</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Risk Management</w:t>
            </w:r>
          </w:p>
        </w:tc>
        <w:tc>
          <w:tcPr>
            <w:tcW w:w="5311" w:type="dxa"/>
            <w:shd w:val="clear" w:color="auto" w:fill="auto"/>
            <w:tcMar>
              <w:top w:w="100" w:type="dxa"/>
              <w:left w:w="100" w:type="dxa"/>
              <w:bottom w:w="100" w:type="dxa"/>
              <w:right w:w="100" w:type="dxa"/>
            </w:tcMar>
          </w:tcPr>
          <w:p w:rsidR="00AD7F1A" w:rsidRDefault="00136824">
            <w:pPr>
              <w:widowControl w:val="0"/>
              <w:spacing w:after="0"/>
            </w:pPr>
            <w:r>
              <w:t>Documenting risks to help Buyers identify and tackle relevant security risks.</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Risk Assessment</w:t>
            </w:r>
          </w:p>
          <w:p w:rsidR="00AD7F1A" w:rsidRDefault="00AD7F1A">
            <w:pPr>
              <w:widowControl w:val="0"/>
              <w:spacing w:after="0"/>
              <w:rPr>
                <w:highlight w:val="white"/>
              </w:rPr>
            </w:pPr>
          </w:p>
        </w:tc>
        <w:tc>
          <w:tcPr>
            <w:tcW w:w="5311" w:type="dxa"/>
            <w:shd w:val="clear" w:color="auto" w:fill="auto"/>
            <w:tcMar>
              <w:top w:w="100" w:type="dxa"/>
              <w:left w:w="100" w:type="dxa"/>
              <w:bottom w:w="100" w:type="dxa"/>
              <w:right w:w="100" w:type="dxa"/>
            </w:tcMar>
          </w:tcPr>
          <w:p w:rsidR="00AD7F1A" w:rsidRDefault="00136824">
            <w:pPr>
              <w:widowControl w:val="0"/>
              <w:spacing w:after="0"/>
            </w:pPr>
            <w:r>
              <w:t>Recommending how to manage cyber security risks.</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Audit and Review (including evaluation and testing).</w:t>
            </w:r>
          </w:p>
        </w:tc>
        <w:tc>
          <w:tcPr>
            <w:tcW w:w="5311" w:type="dxa"/>
            <w:shd w:val="clear" w:color="auto" w:fill="auto"/>
            <w:tcMar>
              <w:top w:w="100" w:type="dxa"/>
              <w:left w:w="100" w:type="dxa"/>
              <w:bottom w:w="100" w:type="dxa"/>
              <w:right w:w="100" w:type="dxa"/>
            </w:tcMar>
          </w:tcPr>
          <w:p w:rsidR="00AD7F1A" w:rsidRDefault="00136824">
            <w:pPr>
              <w:widowControl w:val="0"/>
              <w:spacing w:after="0"/>
            </w:pPr>
            <w:r>
              <w:t>Identifying, testing and evaluating risks. Reporting outcomes to show compliance with internal and external policies and procedures.</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Security Architecture</w:t>
            </w:r>
          </w:p>
        </w:tc>
        <w:tc>
          <w:tcPr>
            <w:tcW w:w="5311" w:type="dxa"/>
            <w:shd w:val="clear" w:color="auto" w:fill="auto"/>
            <w:tcMar>
              <w:top w:w="100" w:type="dxa"/>
              <w:left w:w="100" w:type="dxa"/>
              <w:bottom w:w="100" w:type="dxa"/>
              <w:right w:w="100" w:type="dxa"/>
            </w:tcMar>
          </w:tcPr>
          <w:p w:rsidR="00AD7F1A" w:rsidRDefault="00136824">
            <w:pPr>
              <w:widowControl w:val="0"/>
              <w:spacing w:after="0"/>
            </w:pPr>
            <w:r>
              <w:t>Designing and developing security architectures that take account of business outcomes</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Certification. e.g. Cyber Essentials</w:t>
            </w:r>
          </w:p>
        </w:tc>
        <w:tc>
          <w:tcPr>
            <w:tcW w:w="5311" w:type="dxa"/>
            <w:shd w:val="clear" w:color="auto" w:fill="auto"/>
            <w:tcMar>
              <w:top w:w="100" w:type="dxa"/>
              <w:left w:w="100" w:type="dxa"/>
              <w:bottom w:w="100" w:type="dxa"/>
              <w:right w:w="100" w:type="dxa"/>
            </w:tcMar>
          </w:tcPr>
          <w:p w:rsidR="00AD7F1A" w:rsidRDefault="00136824">
            <w:pPr>
              <w:widowControl w:val="0"/>
              <w:spacing w:after="0"/>
            </w:pPr>
            <w:r>
              <w:t>Assessing compliance with regulatory and industry compliance standards</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BCDR</w:t>
            </w:r>
          </w:p>
        </w:tc>
        <w:tc>
          <w:tcPr>
            <w:tcW w:w="5311" w:type="dxa"/>
            <w:shd w:val="clear" w:color="auto" w:fill="auto"/>
            <w:tcMar>
              <w:top w:w="100" w:type="dxa"/>
              <w:left w:w="100" w:type="dxa"/>
              <w:bottom w:w="100" w:type="dxa"/>
              <w:right w:w="100" w:type="dxa"/>
            </w:tcMar>
          </w:tcPr>
          <w:p w:rsidR="00AD7F1A" w:rsidRDefault="00136824">
            <w:pPr>
              <w:widowControl w:val="0"/>
              <w:spacing w:after="0"/>
            </w:pPr>
            <w:r>
              <w:t xml:space="preserve">Providing advice and strategies to help organisations build resilience and respond to disasters, including research, impact assessment, testing and training.     </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Training</w:t>
            </w:r>
          </w:p>
        </w:tc>
        <w:tc>
          <w:tcPr>
            <w:tcW w:w="5311" w:type="dxa"/>
            <w:shd w:val="clear" w:color="auto" w:fill="auto"/>
            <w:tcMar>
              <w:top w:w="100" w:type="dxa"/>
              <w:left w:w="100" w:type="dxa"/>
              <w:bottom w:w="100" w:type="dxa"/>
              <w:right w:w="100" w:type="dxa"/>
            </w:tcMar>
          </w:tcPr>
          <w:p w:rsidR="00AD7F1A" w:rsidRDefault="00136824">
            <w:pPr>
              <w:widowControl w:val="0"/>
              <w:spacing w:after="0"/>
            </w:pPr>
            <w:r>
              <w:t xml:space="preserve">Providing training covering different aspects of cyber security. </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Cyber Programme Delivery</w:t>
            </w:r>
          </w:p>
        </w:tc>
        <w:tc>
          <w:tcPr>
            <w:tcW w:w="5311"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t>Delivering a wide range of activities such as planning, implementing and managing initiatives aimed at improving cyber security within an organisation</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Policy Development</w:t>
            </w:r>
          </w:p>
        </w:tc>
        <w:tc>
          <w:tcPr>
            <w:tcW w:w="5311"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t xml:space="preserve">Providing advice and review of IT security policies. </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t>Security Specialists</w:t>
            </w:r>
          </w:p>
        </w:tc>
        <w:tc>
          <w:tcPr>
            <w:tcW w:w="5311"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t>Supplying Cyber Security Specialists to provide resources to augment capability.</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t>Security Supply Chain Analysis</w:t>
            </w:r>
          </w:p>
        </w:tc>
        <w:tc>
          <w:tcPr>
            <w:tcW w:w="5311"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t>Identifying and analysing cyber risks within the supply chain and building assurance activities into supply chain management.</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t>Security Strategy</w:t>
            </w:r>
          </w:p>
        </w:tc>
        <w:tc>
          <w:tcPr>
            <w:tcW w:w="5311"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t>Developing and implementing security strategy to help organisations meet the highest quality standards, quantify risk, improve security, inform policy, build resilience and create a cyber security culture.</w:t>
            </w:r>
          </w:p>
        </w:tc>
      </w:tr>
      <w:tr w:rsidR="00AD7F1A">
        <w:trPr>
          <w:trHeight w:val="420"/>
        </w:trPr>
        <w:tc>
          <w:tcPr>
            <w:tcW w:w="1860" w:type="dxa"/>
            <w:vMerge/>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t>Cyber Transformation</w:t>
            </w:r>
          </w:p>
        </w:tc>
        <w:tc>
          <w:tcPr>
            <w:tcW w:w="5311" w:type="dxa"/>
            <w:tcBorders>
              <w:bottom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t>Planning, developing and implementing a cyber transformation programme to align people, processes and technology with strategic goals and help organisations enhance security function, understand evolving threats, rapidly reduce risk, adopt new digital technologies, invest in cyber security and create a cyber security culture.</w:t>
            </w:r>
          </w:p>
        </w:tc>
      </w:tr>
      <w:tr w:rsidR="00AD7F1A">
        <w:trPr>
          <w:trHeight w:val="440"/>
        </w:trPr>
        <w:tc>
          <w:tcPr>
            <w:tcW w:w="1860" w:type="dxa"/>
            <w:vMerge w:val="restart"/>
            <w:tcBorders>
              <w:top w:val="single" w:sz="12" w:space="0" w:color="000000"/>
            </w:tcBorders>
            <w:shd w:val="clear" w:color="auto" w:fill="auto"/>
            <w:tcMar>
              <w:top w:w="100" w:type="dxa"/>
              <w:left w:w="100" w:type="dxa"/>
              <w:bottom w:w="100" w:type="dxa"/>
              <w:right w:w="100" w:type="dxa"/>
            </w:tcMar>
          </w:tcPr>
          <w:p w:rsidR="00AD7F1A" w:rsidRDefault="00AD7F1A">
            <w:pPr>
              <w:widowControl w:val="0"/>
              <w:spacing w:after="0"/>
              <w:jc w:val="center"/>
              <w:rPr>
                <w:highlight w:val="white"/>
              </w:rPr>
            </w:pPr>
          </w:p>
          <w:p w:rsidR="00AD7F1A" w:rsidRDefault="00AD7F1A">
            <w:pPr>
              <w:widowControl w:val="0"/>
              <w:spacing w:after="0"/>
              <w:jc w:val="center"/>
              <w:rPr>
                <w:highlight w:val="white"/>
              </w:rPr>
            </w:pPr>
          </w:p>
          <w:p w:rsidR="00AD7F1A" w:rsidRDefault="00136824">
            <w:pPr>
              <w:widowControl w:val="0"/>
              <w:spacing w:after="0"/>
              <w:jc w:val="center"/>
              <w:rPr>
                <w:highlight w:val="white"/>
              </w:rPr>
            </w:pPr>
            <w:proofErr w:type="gramStart"/>
            <w:r>
              <w:rPr>
                <w:highlight w:val="white"/>
              </w:rPr>
              <w:t>Penetration  test</w:t>
            </w:r>
            <w:proofErr w:type="gramEnd"/>
            <w:r>
              <w:rPr>
                <w:highlight w:val="white"/>
              </w:rPr>
              <w:t xml:space="preserve"> / Health check</w:t>
            </w:r>
          </w:p>
        </w:tc>
        <w:tc>
          <w:tcPr>
            <w:tcW w:w="2175"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Penetration Testing/Pen test</w:t>
            </w:r>
          </w:p>
        </w:tc>
        <w:tc>
          <w:tcPr>
            <w:tcW w:w="5311"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t>Testing of IT systems to identify potential vulnerabilities and recommend effective security countermeasures.</w:t>
            </w:r>
          </w:p>
        </w:tc>
      </w:tr>
      <w:tr w:rsidR="00AD7F1A">
        <w:trPr>
          <w:trHeight w:val="440"/>
        </w:trPr>
        <w:tc>
          <w:tcPr>
            <w:tcW w:w="1860" w:type="dxa"/>
            <w:vMerge/>
            <w:tcBorders>
              <w:top w:val="single" w:sz="12" w:space="0" w:color="000000"/>
            </w:tcBorders>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pPr>
          </w:p>
        </w:tc>
        <w:tc>
          <w:tcPr>
            <w:tcW w:w="2175"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Red Teaming</w:t>
            </w:r>
          </w:p>
        </w:tc>
        <w:tc>
          <w:tcPr>
            <w:tcW w:w="5311"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color w:val="3C3D3C"/>
                <w:highlight w:val="white"/>
              </w:rPr>
              <w:t>Red teaming is an exercise used to test capabilities and is when an authorised individual/ team simulate an attack on your estate utilising physical, technical and social engineering methods.</w:t>
            </w:r>
          </w:p>
        </w:tc>
      </w:tr>
      <w:tr w:rsidR="00AD7F1A">
        <w:trPr>
          <w:trHeight w:val="440"/>
        </w:trPr>
        <w:tc>
          <w:tcPr>
            <w:tcW w:w="1860" w:type="dxa"/>
            <w:vMerge/>
            <w:tcBorders>
              <w:top w:val="single" w:sz="12" w:space="0" w:color="000000"/>
            </w:tcBorders>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rPr>
                <w:highlight w:val="white"/>
              </w:rPr>
            </w:pPr>
          </w:p>
        </w:tc>
        <w:tc>
          <w:tcPr>
            <w:tcW w:w="2175"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Check</w:t>
            </w:r>
          </w:p>
        </w:tc>
        <w:tc>
          <w:tcPr>
            <w:tcW w:w="5311"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rPr>
                <w:highlight w:val="white"/>
              </w:rPr>
              <w:t>Penetration testing offered by NCSC approved suppliers who use an approved methodology and provide reports to a specific standard. </w:t>
            </w:r>
          </w:p>
        </w:tc>
      </w:tr>
      <w:tr w:rsidR="00AD7F1A">
        <w:trPr>
          <w:trHeight w:val="440"/>
        </w:trPr>
        <w:tc>
          <w:tcPr>
            <w:tcW w:w="1860" w:type="dxa"/>
            <w:vMerge/>
            <w:tcBorders>
              <w:top w:val="single" w:sz="12" w:space="0" w:color="000000"/>
            </w:tcBorders>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IT Health Check</w:t>
            </w:r>
          </w:p>
        </w:tc>
        <w:tc>
          <w:tcPr>
            <w:tcW w:w="5311" w:type="dxa"/>
            <w:shd w:val="clear" w:color="auto" w:fill="auto"/>
            <w:tcMar>
              <w:top w:w="100" w:type="dxa"/>
              <w:left w:w="100" w:type="dxa"/>
              <w:bottom w:w="100" w:type="dxa"/>
              <w:right w:w="100" w:type="dxa"/>
            </w:tcMar>
          </w:tcPr>
          <w:p w:rsidR="00AD7F1A" w:rsidRDefault="00136824">
            <w:pPr>
              <w:widowControl w:val="0"/>
              <w:spacing w:after="0"/>
            </w:pPr>
            <w:r>
              <w:t xml:space="preserve">Checking of IT systems to identify vulnerabilities and recommend remedial action.  </w:t>
            </w:r>
          </w:p>
        </w:tc>
      </w:tr>
      <w:tr w:rsidR="00AD7F1A">
        <w:trPr>
          <w:trHeight w:val="440"/>
        </w:trPr>
        <w:tc>
          <w:tcPr>
            <w:tcW w:w="1860" w:type="dxa"/>
            <w:vMerge/>
            <w:tcBorders>
              <w:top w:val="single" w:sz="12" w:space="0" w:color="000000"/>
            </w:tcBorders>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Cyber Adversary Simulation</w:t>
            </w:r>
          </w:p>
        </w:tc>
        <w:tc>
          <w:tcPr>
            <w:tcW w:w="5311" w:type="dxa"/>
            <w:shd w:val="clear" w:color="auto" w:fill="auto"/>
            <w:tcMar>
              <w:top w:w="100" w:type="dxa"/>
              <w:left w:w="100" w:type="dxa"/>
              <w:bottom w:w="100" w:type="dxa"/>
              <w:right w:w="100" w:type="dxa"/>
            </w:tcMar>
          </w:tcPr>
          <w:p w:rsidR="00AD7F1A" w:rsidRDefault="00136824">
            <w:pPr>
              <w:widowControl w:val="0"/>
              <w:spacing w:after="0"/>
            </w:pPr>
            <w:r>
              <w:t>NCSC assured service - supplier must be an assured supplier for this scheme</w:t>
            </w:r>
          </w:p>
        </w:tc>
      </w:tr>
      <w:tr w:rsidR="00AD7F1A">
        <w:trPr>
          <w:trHeight w:val="1000"/>
        </w:trPr>
        <w:tc>
          <w:tcPr>
            <w:tcW w:w="1860" w:type="dxa"/>
            <w:vMerge w:val="restart"/>
            <w:tcBorders>
              <w:top w:val="single" w:sz="12" w:space="0" w:color="000000"/>
            </w:tcBorders>
            <w:shd w:val="clear" w:color="auto" w:fill="auto"/>
            <w:tcMar>
              <w:top w:w="100" w:type="dxa"/>
              <w:left w:w="100" w:type="dxa"/>
              <w:bottom w:w="100" w:type="dxa"/>
              <w:right w:w="100" w:type="dxa"/>
            </w:tcMar>
            <w:vAlign w:val="center"/>
          </w:tcPr>
          <w:p w:rsidR="00AD7F1A" w:rsidRDefault="00AD7F1A">
            <w:pPr>
              <w:widowControl w:val="0"/>
              <w:spacing w:after="0"/>
              <w:rPr>
                <w:highlight w:val="white"/>
              </w:rPr>
            </w:pPr>
          </w:p>
          <w:p w:rsidR="00AD7F1A" w:rsidRDefault="00136824">
            <w:pPr>
              <w:widowControl w:val="0"/>
              <w:spacing w:after="0"/>
              <w:jc w:val="center"/>
              <w:rPr>
                <w:highlight w:val="white"/>
              </w:rPr>
            </w:pPr>
            <w:r>
              <w:rPr>
                <w:highlight w:val="white"/>
              </w:rPr>
              <w:t>Incident Management</w:t>
            </w:r>
          </w:p>
        </w:tc>
        <w:tc>
          <w:tcPr>
            <w:tcW w:w="2175"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Incident Response</w:t>
            </w:r>
          </w:p>
        </w:tc>
        <w:tc>
          <w:tcPr>
            <w:tcW w:w="5311"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t>Fast action response to cyberattacks, providing recommendations to deal with the compromise and mitigate risks.</w:t>
            </w:r>
          </w:p>
        </w:tc>
      </w:tr>
      <w:tr w:rsidR="00AD7F1A">
        <w:trPr>
          <w:trHeight w:val="1000"/>
        </w:trPr>
        <w:tc>
          <w:tcPr>
            <w:tcW w:w="1860" w:type="dxa"/>
            <w:vMerge/>
            <w:tcBorders>
              <w:top w:val="single" w:sz="12" w:space="0" w:color="000000"/>
            </w:tcBorders>
            <w:shd w:val="clear" w:color="auto" w:fill="auto"/>
            <w:tcMar>
              <w:top w:w="100" w:type="dxa"/>
              <w:left w:w="100" w:type="dxa"/>
              <w:bottom w:w="100" w:type="dxa"/>
              <w:right w:w="100" w:type="dxa"/>
            </w:tcMar>
            <w:vAlign w:val="center"/>
          </w:tcPr>
          <w:p w:rsidR="00AD7F1A" w:rsidRDefault="00AD7F1A">
            <w:pPr>
              <w:widowControl w:val="0"/>
              <w:pBdr>
                <w:top w:val="nil"/>
                <w:left w:val="nil"/>
                <w:bottom w:val="nil"/>
                <w:right w:val="nil"/>
                <w:between w:val="nil"/>
              </w:pBdr>
              <w:spacing w:after="0" w:line="276" w:lineRule="auto"/>
            </w:pPr>
          </w:p>
        </w:tc>
        <w:tc>
          <w:tcPr>
            <w:tcW w:w="2175"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Cyber Incident Response - Enhanced Level</w:t>
            </w:r>
          </w:p>
        </w:tc>
        <w:tc>
          <w:tcPr>
            <w:tcW w:w="5311"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rPr>
                <w:color w:val="222222"/>
                <w:highlight w:val="white"/>
              </w:rPr>
              <w:t>NCSC assured service providing cyber incident response to the UK Central Government, Critical National Infrastructure or operate in the regulated sector</w:t>
            </w:r>
          </w:p>
        </w:tc>
      </w:tr>
      <w:tr w:rsidR="00AD7F1A">
        <w:trPr>
          <w:trHeight w:val="1000"/>
        </w:trPr>
        <w:tc>
          <w:tcPr>
            <w:tcW w:w="1860" w:type="dxa"/>
            <w:vMerge/>
            <w:tcBorders>
              <w:top w:val="single" w:sz="12" w:space="0" w:color="000000"/>
            </w:tcBorders>
            <w:shd w:val="clear" w:color="auto" w:fill="auto"/>
            <w:tcMar>
              <w:top w:w="100" w:type="dxa"/>
              <w:left w:w="100" w:type="dxa"/>
              <w:bottom w:w="100" w:type="dxa"/>
              <w:right w:w="100" w:type="dxa"/>
            </w:tcMar>
            <w:vAlign w:val="center"/>
          </w:tcPr>
          <w:p w:rsidR="00AD7F1A" w:rsidRDefault="00AD7F1A">
            <w:pPr>
              <w:widowControl w:val="0"/>
              <w:pBdr>
                <w:top w:val="nil"/>
                <w:left w:val="nil"/>
                <w:bottom w:val="nil"/>
                <w:right w:val="nil"/>
                <w:between w:val="nil"/>
              </w:pBdr>
              <w:spacing w:after="0" w:line="276" w:lineRule="auto"/>
            </w:pPr>
          </w:p>
        </w:tc>
        <w:tc>
          <w:tcPr>
            <w:tcW w:w="2175"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Cyber Incident Response - Standard Level</w:t>
            </w:r>
          </w:p>
        </w:tc>
        <w:tc>
          <w:tcPr>
            <w:tcW w:w="5311"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rPr>
                <w:color w:val="222222"/>
                <w:highlight w:val="white"/>
              </w:rPr>
              <w:t>NCSC assured service providing cyber incident response to local government bodies, large, medium and small businesses, and charity organisations within the UK</w:t>
            </w:r>
          </w:p>
        </w:tc>
      </w:tr>
      <w:tr w:rsidR="00AD7F1A">
        <w:trPr>
          <w:trHeight w:val="1000"/>
        </w:trPr>
        <w:tc>
          <w:tcPr>
            <w:tcW w:w="1860" w:type="dxa"/>
            <w:vMerge/>
            <w:tcBorders>
              <w:top w:val="single" w:sz="12" w:space="0" w:color="000000"/>
            </w:tcBorders>
            <w:shd w:val="clear" w:color="auto" w:fill="auto"/>
            <w:tcMar>
              <w:top w:w="100" w:type="dxa"/>
              <w:left w:w="100" w:type="dxa"/>
              <w:bottom w:w="100" w:type="dxa"/>
              <w:right w:w="100" w:type="dxa"/>
            </w:tcMar>
            <w:vAlign w:val="center"/>
          </w:tcPr>
          <w:p w:rsidR="00AD7F1A" w:rsidRDefault="00AD7F1A">
            <w:pPr>
              <w:widowControl w:val="0"/>
              <w:pBdr>
                <w:top w:val="nil"/>
                <w:left w:val="nil"/>
                <w:bottom w:val="nil"/>
                <w:right w:val="nil"/>
                <w:between w:val="nil"/>
              </w:pBdr>
              <w:spacing w:after="0" w:line="276" w:lineRule="auto"/>
            </w:pPr>
          </w:p>
        </w:tc>
        <w:tc>
          <w:tcPr>
            <w:tcW w:w="2175"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Cyber Exercising</w:t>
            </w:r>
          </w:p>
        </w:tc>
        <w:tc>
          <w:tcPr>
            <w:tcW w:w="5311" w:type="dxa"/>
            <w:tcBorders>
              <w:top w:val="single" w:sz="12" w:space="0" w:color="000000"/>
            </w:tcBorders>
            <w:shd w:val="clear" w:color="auto" w:fill="auto"/>
            <w:tcMar>
              <w:top w:w="100" w:type="dxa"/>
              <w:left w:w="100" w:type="dxa"/>
              <w:bottom w:w="100" w:type="dxa"/>
              <w:right w:w="100" w:type="dxa"/>
            </w:tcMar>
          </w:tcPr>
          <w:p w:rsidR="00AD7F1A" w:rsidRDefault="00136824">
            <w:pPr>
              <w:widowControl w:val="0"/>
              <w:spacing w:after="0"/>
            </w:pPr>
            <w:r>
              <w:rPr>
                <w:color w:val="222222"/>
                <w:highlight w:val="white"/>
              </w:rPr>
              <w:t>NCSC assured service providing table-top or live play incident exercising for UK Central and Regional Government, and medium and large organisations</w:t>
            </w:r>
          </w:p>
        </w:tc>
      </w:tr>
      <w:tr w:rsidR="00AD7F1A">
        <w:trPr>
          <w:trHeight w:val="420"/>
        </w:trPr>
        <w:tc>
          <w:tcPr>
            <w:tcW w:w="1860" w:type="dxa"/>
            <w:vMerge/>
            <w:tcBorders>
              <w:top w:val="single" w:sz="12" w:space="0" w:color="000000"/>
            </w:tcBorders>
            <w:shd w:val="clear" w:color="auto" w:fill="auto"/>
            <w:tcMar>
              <w:top w:w="100" w:type="dxa"/>
              <w:left w:w="100" w:type="dxa"/>
              <w:bottom w:w="100" w:type="dxa"/>
              <w:right w:w="100" w:type="dxa"/>
            </w:tcMar>
            <w:vAlign w:val="cente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Disaster Recovery</w:t>
            </w:r>
          </w:p>
        </w:tc>
        <w:tc>
          <w:tcPr>
            <w:tcW w:w="5311" w:type="dxa"/>
            <w:shd w:val="clear" w:color="auto" w:fill="auto"/>
            <w:tcMar>
              <w:top w:w="100" w:type="dxa"/>
              <w:left w:w="100" w:type="dxa"/>
              <w:bottom w:w="100" w:type="dxa"/>
              <w:right w:w="100" w:type="dxa"/>
            </w:tcMar>
          </w:tcPr>
          <w:p w:rsidR="00AD7F1A" w:rsidRDefault="00136824">
            <w:pPr>
              <w:widowControl w:val="0"/>
              <w:spacing w:after="0"/>
            </w:pPr>
            <w:r>
              <w:t>Providing advice and producing disaster recovery plans.</w:t>
            </w:r>
          </w:p>
        </w:tc>
      </w:tr>
      <w:tr w:rsidR="00AD7F1A">
        <w:trPr>
          <w:trHeight w:val="420"/>
        </w:trPr>
        <w:tc>
          <w:tcPr>
            <w:tcW w:w="1860" w:type="dxa"/>
            <w:vMerge/>
            <w:tcBorders>
              <w:top w:val="single" w:sz="12" w:space="0" w:color="000000"/>
            </w:tcBorders>
            <w:shd w:val="clear" w:color="auto" w:fill="auto"/>
            <w:tcMar>
              <w:top w:w="100" w:type="dxa"/>
              <w:left w:w="100" w:type="dxa"/>
              <w:bottom w:w="100" w:type="dxa"/>
              <w:right w:w="100" w:type="dxa"/>
            </w:tcMar>
            <w:vAlign w:val="center"/>
          </w:tcPr>
          <w:p w:rsidR="00AD7F1A" w:rsidRDefault="00AD7F1A">
            <w:pPr>
              <w:widowControl w:val="0"/>
              <w:pBdr>
                <w:top w:val="nil"/>
                <w:left w:val="nil"/>
                <w:bottom w:val="nil"/>
                <w:right w:val="nil"/>
                <w:between w:val="nil"/>
              </w:pBdr>
              <w:spacing w:after="0" w:line="276" w:lineRule="auto"/>
            </w:pPr>
          </w:p>
        </w:tc>
        <w:tc>
          <w:tcPr>
            <w:tcW w:w="2175" w:type="dxa"/>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Threat Intelligence</w:t>
            </w:r>
          </w:p>
        </w:tc>
        <w:tc>
          <w:tcPr>
            <w:tcW w:w="5311" w:type="dxa"/>
            <w:shd w:val="clear" w:color="auto" w:fill="auto"/>
            <w:tcMar>
              <w:top w:w="100" w:type="dxa"/>
              <w:left w:w="100" w:type="dxa"/>
              <w:bottom w:w="100" w:type="dxa"/>
              <w:right w:w="100" w:type="dxa"/>
            </w:tcMar>
          </w:tcPr>
          <w:p w:rsidR="00AD7F1A" w:rsidRDefault="00136824">
            <w:pPr>
              <w:widowControl w:val="0"/>
              <w:spacing w:after="0"/>
            </w:pPr>
            <w:r>
              <w:t xml:space="preserve">Providing advice on cyber threats drawing upon intelligence from appropriate sources. </w:t>
            </w:r>
          </w:p>
        </w:tc>
      </w:tr>
      <w:tr w:rsidR="00AD7F1A">
        <w:trPr>
          <w:trHeight w:val="420"/>
        </w:trPr>
        <w:tc>
          <w:tcPr>
            <w:tcW w:w="1860" w:type="dxa"/>
            <w:vMerge/>
            <w:tcBorders>
              <w:top w:val="single" w:sz="12" w:space="0" w:color="000000"/>
            </w:tcBorders>
            <w:shd w:val="clear" w:color="auto" w:fill="auto"/>
            <w:tcMar>
              <w:top w:w="100" w:type="dxa"/>
              <w:left w:w="100" w:type="dxa"/>
              <w:bottom w:w="100" w:type="dxa"/>
              <w:right w:w="100" w:type="dxa"/>
            </w:tcMar>
            <w:vAlign w:val="center"/>
          </w:tcPr>
          <w:p w:rsidR="00AD7F1A" w:rsidRDefault="00AD7F1A">
            <w:pPr>
              <w:widowControl w:val="0"/>
              <w:pBdr>
                <w:top w:val="nil"/>
                <w:left w:val="nil"/>
                <w:bottom w:val="nil"/>
                <w:right w:val="nil"/>
                <w:between w:val="nil"/>
              </w:pBdr>
              <w:spacing w:after="0" w:line="276" w:lineRule="auto"/>
            </w:pPr>
          </w:p>
        </w:tc>
        <w:tc>
          <w:tcPr>
            <w:tcW w:w="2175" w:type="dxa"/>
            <w:tcBorders>
              <w:bottom w:val="single" w:sz="8"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BCDR</w:t>
            </w:r>
          </w:p>
        </w:tc>
        <w:tc>
          <w:tcPr>
            <w:tcW w:w="5311" w:type="dxa"/>
            <w:tcBorders>
              <w:bottom w:val="single" w:sz="8" w:space="0" w:color="000000"/>
            </w:tcBorders>
            <w:shd w:val="clear" w:color="auto" w:fill="auto"/>
            <w:tcMar>
              <w:top w:w="100" w:type="dxa"/>
              <w:left w:w="100" w:type="dxa"/>
              <w:bottom w:w="100" w:type="dxa"/>
              <w:right w:w="100" w:type="dxa"/>
            </w:tcMar>
          </w:tcPr>
          <w:p w:rsidR="00AD7F1A" w:rsidRDefault="00136824">
            <w:pPr>
              <w:widowControl w:val="0"/>
              <w:spacing w:after="0"/>
            </w:pPr>
            <w:r>
              <w:t>Providing range of advice and support covering business continuity and disaster recovery planning and responses.</w:t>
            </w:r>
          </w:p>
        </w:tc>
      </w:tr>
      <w:tr w:rsidR="00AD7F1A">
        <w:tc>
          <w:tcPr>
            <w:tcW w:w="186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jc w:val="center"/>
              <w:rPr>
                <w:highlight w:val="white"/>
              </w:rPr>
            </w:pPr>
            <w:r>
              <w:rPr>
                <w:highlight w:val="white"/>
              </w:rPr>
              <w:t xml:space="preserve">Data Destruction </w:t>
            </w:r>
          </w:p>
        </w:tc>
        <w:tc>
          <w:tcPr>
            <w:tcW w:w="217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Secure data removal and IT sanitisation services.</w:t>
            </w:r>
          </w:p>
        </w:tc>
        <w:tc>
          <w:tcPr>
            <w:tcW w:w="531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pPr>
            <w:r>
              <w:t xml:space="preserve">Secure data erasure and disposal of IT media and assets using audited destruction procedures.    </w:t>
            </w:r>
          </w:p>
        </w:tc>
      </w:tr>
      <w:tr w:rsidR="00AD7F1A">
        <w:trPr>
          <w:trHeight w:val="1233"/>
        </w:trPr>
        <w:tc>
          <w:tcPr>
            <w:tcW w:w="1860"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jc w:val="center"/>
              <w:rPr>
                <w:highlight w:val="white"/>
              </w:rPr>
            </w:pPr>
            <w:r>
              <w:rPr>
                <w:highlight w:val="white"/>
              </w:rPr>
              <w:t>Encryption Services</w:t>
            </w:r>
          </w:p>
        </w:tc>
        <w:tc>
          <w:tcPr>
            <w:tcW w:w="217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IP Crypto</w:t>
            </w:r>
          </w:p>
        </w:tc>
        <w:tc>
          <w:tcPr>
            <w:tcW w:w="531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rPr>
                <w:color w:val="222222"/>
                <w:highlight w:val="white"/>
              </w:rPr>
            </w:pPr>
            <w:r>
              <w:rPr>
                <w:color w:val="222222"/>
                <w:highlight w:val="white"/>
              </w:rPr>
              <w:t xml:space="preserve">NCSC assured service, supplier must be approved on the </w:t>
            </w:r>
            <w:r>
              <w:rPr>
                <w:b/>
                <w:color w:val="222222"/>
                <w:highlight w:val="white"/>
              </w:rPr>
              <w:t>Crypt Key Company Standard Register</w:t>
            </w:r>
            <w:r>
              <w:rPr>
                <w:color w:val="222222"/>
                <w:highlight w:val="white"/>
              </w:rPr>
              <w:t xml:space="preserve"> and continue to meet the requirements of the Standard.</w:t>
            </w:r>
          </w:p>
        </w:tc>
      </w:tr>
      <w:tr w:rsidR="00AD7F1A">
        <w:trPr>
          <w:trHeight w:val="1233"/>
        </w:trPr>
        <w:tc>
          <w:tcPr>
            <w:tcW w:w="1860" w:type="dxa"/>
            <w:vMerge w:val="restart"/>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jc w:val="center"/>
              <w:rPr>
                <w:highlight w:val="white"/>
              </w:rPr>
            </w:pPr>
            <w:r>
              <w:rPr>
                <w:highlight w:val="white"/>
              </w:rPr>
              <w:lastRenderedPageBreak/>
              <w:t>Managed Security Service</w:t>
            </w:r>
          </w:p>
        </w:tc>
        <w:tc>
          <w:tcPr>
            <w:tcW w:w="217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CREST Accredited Security Operations Centre (SOC)</w:t>
            </w:r>
          </w:p>
        </w:tc>
        <w:tc>
          <w:tcPr>
            <w:tcW w:w="531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pPr>
            <w:r>
              <w:rPr>
                <w:color w:val="222222"/>
                <w:highlight w:val="white"/>
              </w:rPr>
              <w:t>Security Operations Centre (SOC) provided by a CREST accredited supplier who has met the necessary discipline requirements.</w:t>
            </w:r>
          </w:p>
        </w:tc>
      </w:tr>
      <w:tr w:rsidR="00AD7F1A">
        <w:tc>
          <w:tcPr>
            <w:tcW w:w="1860"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Security Operations Centre (SOC)</w:t>
            </w:r>
          </w:p>
        </w:tc>
        <w:tc>
          <w:tcPr>
            <w:tcW w:w="531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pPr>
            <w:r>
              <w:rPr>
                <w:color w:val="222222"/>
                <w:highlight w:val="white"/>
              </w:rPr>
              <w:t>Providing a Security Operations Centre (SOC) which can include activities such as monitoring, detecting, analysing and investigating cyber threats. </w:t>
            </w:r>
          </w:p>
        </w:tc>
      </w:tr>
      <w:tr w:rsidR="00AD7F1A">
        <w:tc>
          <w:tcPr>
            <w:tcW w:w="1860" w:type="dxa"/>
            <w:vMerge/>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AD7F1A">
            <w:pPr>
              <w:widowControl w:val="0"/>
              <w:pBdr>
                <w:top w:val="nil"/>
                <w:left w:val="nil"/>
                <w:bottom w:val="nil"/>
                <w:right w:val="nil"/>
                <w:between w:val="nil"/>
              </w:pBdr>
              <w:spacing w:after="0" w:line="276" w:lineRule="auto"/>
            </w:pPr>
          </w:p>
        </w:tc>
        <w:tc>
          <w:tcPr>
            <w:tcW w:w="2175"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rPr>
                <w:highlight w:val="white"/>
              </w:rPr>
            </w:pPr>
            <w:r>
              <w:rPr>
                <w:highlight w:val="white"/>
              </w:rPr>
              <w:t>Managed Detection and Response (MDR)</w:t>
            </w:r>
          </w:p>
        </w:tc>
        <w:tc>
          <w:tcPr>
            <w:tcW w:w="5311" w:type="dxa"/>
            <w:tcBorders>
              <w:top w:val="single" w:sz="8" w:space="0" w:color="000000"/>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rsidR="00AD7F1A" w:rsidRDefault="00136824">
            <w:pPr>
              <w:widowControl w:val="0"/>
              <w:spacing w:after="0"/>
            </w:pPr>
            <w:r>
              <w:rPr>
                <w:color w:val="222222"/>
                <w:highlight w:val="white"/>
              </w:rPr>
              <w:t>Providing a proactive managed security service which can include threat intelligence, threat hunting, security monitoring, incident analysis and incident response capabilities. </w:t>
            </w:r>
          </w:p>
        </w:tc>
      </w:tr>
    </w:tbl>
    <w:p w:rsidR="00AD7F1A" w:rsidRDefault="00AD7F1A">
      <w:pPr>
        <w:widowControl w:val="0"/>
        <w:spacing w:after="0" w:line="240" w:lineRule="auto"/>
        <w:rPr>
          <w:b/>
          <w:sz w:val="22"/>
          <w:szCs w:val="22"/>
        </w:rPr>
      </w:pPr>
    </w:p>
    <w:p w:rsidR="00AD7F1A" w:rsidRDefault="00136824">
      <w:pPr>
        <w:widowControl w:val="0"/>
        <w:spacing w:after="0" w:line="240" w:lineRule="auto"/>
        <w:jc w:val="both"/>
        <w:rPr>
          <w:b/>
        </w:rPr>
      </w:pPr>
      <w:r>
        <w:rPr>
          <w:b/>
        </w:rPr>
        <w:t xml:space="preserve">2.3.1 </w:t>
      </w:r>
      <w:proofErr w:type="spellStart"/>
      <w:r>
        <w:rPr>
          <w:b/>
        </w:rPr>
        <w:t>GovAssure</w:t>
      </w:r>
      <w:proofErr w:type="spellEnd"/>
    </w:p>
    <w:p w:rsidR="00AD7F1A" w:rsidRDefault="00AD7F1A">
      <w:pPr>
        <w:widowControl w:val="0"/>
        <w:spacing w:after="0" w:line="240" w:lineRule="auto"/>
        <w:jc w:val="both"/>
        <w:rPr>
          <w:b/>
        </w:rPr>
      </w:pPr>
    </w:p>
    <w:p w:rsidR="00AD7F1A" w:rsidRDefault="00136824">
      <w:pPr>
        <w:widowControl w:val="0"/>
        <w:spacing w:after="0" w:line="240" w:lineRule="auto"/>
        <w:jc w:val="both"/>
        <w:rPr>
          <w:color w:val="000000"/>
        </w:rPr>
      </w:pPr>
      <w:proofErr w:type="spellStart"/>
      <w:r>
        <w:rPr>
          <w:color w:val="000000"/>
        </w:rPr>
        <w:t>GovAssure</w:t>
      </w:r>
      <w:proofErr w:type="spellEnd"/>
      <w:r>
        <w:rPr>
          <w:color w:val="000000"/>
        </w:rPr>
        <w:t xml:space="preserve"> is the</w:t>
      </w:r>
      <w:r>
        <w:t xml:space="preserve"> </w:t>
      </w:r>
      <w:r>
        <w:rPr>
          <w:color w:val="000000"/>
        </w:rPr>
        <w:t xml:space="preserve">cybersecurity assurance regime for government </w:t>
      </w:r>
      <w:r>
        <w:t>that launched in 2023</w:t>
      </w:r>
      <w:r>
        <w:rPr>
          <w:color w:val="000000"/>
        </w:rPr>
        <w:t>, adopting NCSC’s Cyber Assessment Framework (CAF) as its central framework.</w:t>
      </w:r>
    </w:p>
    <w:p w:rsidR="00AD7F1A" w:rsidRDefault="00AD7F1A">
      <w:pPr>
        <w:widowControl w:val="0"/>
        <w:spacing w:after="0" w:line="240" w:lineRule="auto"/>
        <w:jc w:val="both"/>
      </w:pPr>
    </w:p>
    <w:p w:rsidR="00AD7F1A" w:rsidRDefault="00136824">
      <w:pPr>
        <w:widowControl w:val="0"/>
        <w:spacing w:after="0" w:line="240" w:lineRule="auto"/>
        <w:jc w:val="both"/>
        <w:rPr>
          <w:color w:val="000000"/>
        </w:rPr>
      </w:pPr>
      <w:r>
        <w:rPr>
          <w:color w:val="000000"/>
        </w:rPr>
        <w:t>Departments will complete a self-assessment against the relevant government CAF profile (baseline / enhanced) for the selected systems in scope. This will involve assessing whether they are meeting the security outcomes defined under CAF, and providing some supplemental information.</w:t>
      </w:r>
    </w:p>
    <w:p w:rsidR="00AD7F1A" w:rsidRDefault="00AD7F1A">
      <w:pPr>
        <w:widowControl w:val="0"/>
        <w:spacing w:after="0" w:line="240" w:lineRule="auto"/>
        <w:jc w:val="both"/>
      </w:pPr>
    </w:p>
    <w:p w:rsidR="00AD7F1A" w:rsidRDefault="00136824">
      <w:pPr>
        <w:widowControl w:val="0"/>
        <w:spacing w:after="0" w:line="240" w:lineRule="auto"/>
        <w:jc w:val="both"/>
      </w:pPr>
      <w:r>
        <w:t xml:space="preserve">Following the department’s self-assessment against the CAF, </w:t>
      </w:r>
      <w:r>
        <w:rPr>
          <w:color w:val="000000"/>
        </w:rPr>
        <w:t xml:space="preserve">via </w:t>
      </w:r>
      <w:proofErr w:type="spellStart"/>
      <w:r>
        <w:rPr>
          <w:color w:val="000000"/>
        </w:rPr>
        <w:t>WebCaf</w:t>
      </w:r>
      <w:proofErr w:type="spellEnd"/>
      <w:r>
        <w:rPr>
          <w:color w:val="000000"/>
        </w:rPr>
        <w:t xml:space="preserve"> (online submission platform)</w:t>
      </w:r>
      <w:r>
        <w:t xml:space="preserve"> they will procure the services of an appropriately accredited reviewer to verify the department’s return. </w:t>
      </w:r>
    </w:p>
    <w:p w:rsidR="00AD7F1A" w:rsidRDefault="00136824">
      <w:pPr>
        <w:widowControl w:val="0"/>
        <w:spacing w:before="240" w:after="0" w:line="276" w:lineRule="auto"/>
        <w:jc w:val="both"/>
      </w:pPr>
      <w:r>
        <w:t xml:space="preserve">The route for assured suppliers for </w:t>
      </w:r>
      <w:proofErr w:type="spellStart"/>
      <w:r>
        <w:t>GovAssure</w:t>
      </w:r>
      <w:proofErr w:type="spellEnd"/>
      <w:r>
        <w:t xml:space="preserve"> is changing in April 2026. This document sets out the obligations of the two current routes (NCSC and non-NCSC), and the route from April 2026.</w:t>
      </w:r>
    </w:p>
    <w:p w:rsidR="00AD7F1A" w:rsidRDefault="00AD7F1A">
      <w:pPr>
        <w:widowControl w:val="0"/>
        <w:spacing w:after="0" w:line="240" w:lineRule="auto"/>
        <w:jc w:val="both"/>
      </w:pPr>
    </w:p>
    <w:p w:rsidR="00AD7F1A" w:rsidRDefault="00136824">
      <w:pPr>
        <w:widowControl w:val="0"/>
        <w:spacing w:after="0" w:line="240" w:lineRule="auto"/>
        <w:jc w:val="both"/>
        <w:rPr>
          <w:b/>
        </w:rPr>
      </w:pPr>
      <w:r>
        <w:rPr>
          <w:b/>
        </w:rPr>
        <w:t>Obligations</w:t>
      </w:r>
    </w:p>
    <w:p w:rsidR="00AD7F1A" w:rsidRDefault="00136824">
      <w:pPr>
        <w:widowControl w:val="0"/>
        <w:spacing w:after="0" w:line="240" w:lineRule="auto"/>
        <w:jc w:val="both"/>
      </w:pPr>
      <w:r>
        <w:t xml:space="preserve">All suppliers providing a </w:t>
      </w:r>
      <w:proofErr w:type="spellStart"/>
      <w:r>
        <w:t>GovAssure</w:t>
      </w:r>
      <w:proofErr w:type="spellEnd"/>
      <w:r>
        <w:t xml:space="preserve"> service must fulfil the below obligations:</w:t>
      </w:r>
    </w:p>
    <w:p w:rsidR="00AD7F1A" w:rsidRDefault="00136824">
      <w:pPr>
        <w:numPr>
          <w:ilvl w:val="0"/>
          <w:numId w:val="8"/>
        </w:numPr>
        <w:spacing w:after="0" w:line="276" w:lineRule="auto"/>
      </w:pPr>
      <w:r>
        <w:t xml:space="preserve">[FROM APRIL 2026] The </w:t>
      </w:r>
      <w:r>
        <w:rPr>
          <w:b/>
        </w:rPr>
        <w:t>named authority</w:t>
      </w:r>
      <w:r>
        <w:t xml:space="preserve"> must be part of NCSC’s Cyber Resilience Audit scheme. There is more information on the Cyber Resilience Audit scheme below. </w:t>
      </w:r>
    </w:p>
    <w:p w:rsidR="00AD7F1A" w:rsidRDefault="00136824">
      <w:pPr>
        <w:numPr>
          <w:ilvl w:val="0"/>
          <w:numId w:val="8"/>
        </w:numPr>
        <w:spacing w:after="0" w:line="276" w:lineRule="auto"/>
      </w:pPr>
      <w:r>
        <w:t xml:space="preserve">[BEFORE APRIL 2026] The named authority must be on one of the two </w:t>
      </w:r>
      <w:proofErr w:type="spellStart"/>
      <w:r>
        <w:t>GovAssure</w:t>
      </w:r>
      <w:proofErr w:type="spellEnd"/>
      <w:r>
        <w:t xml:space="preserve"> routes for accreditation (NCSC or non-NCSC)</w:t>
      </w:r>
    </w:p>
    <w:p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There must be a </w:t>
      </w:r>
      <w:r>
        <w:rPr>
          <w:b/>
          <w:color w:val="000000"/>
        </w:rPr>
        <w:t xml:space="preserve">named authority </w:t>
      </w:r>
      <w:r>
        <w:rPr>
          <w:color w:val="000000"/>
        </w:rPr>
        <w:t>who is responsible for signing-off the audit on behalf of the organisation carrying out the audit. </w:t>
      </w:r>
    </w:p>
    <w:p w:rsidR="00AD7F1A" w:rsidRDefault="00136824">
      <w:pPr>
        <w:numPr>
          <w:ilvl w:val="0"/>
          <w:numId w:val="8"/>
        </w:numPr>
        <w:pBdr>
          <w:top w:val="nil"/>
          <w:left w:val="nil"/>
          <w:bottom w:val="nil"/>
          <w:right w:val="nil"/>
          <w:between w:val="nil"/>
        </w:pBdr>
        <w:spacing w:after="0" w:line="240" w:lineRule="auto"/>
        <w:rPr>
          <w:color w:val="000000"/>
        </w:rPr>
      </w:pPr>
      <w:r>
        <w:rPr>
          <w:color w:val="000000"/>
        </w:rPr>
        <w:lastRenderedPageBreak/>
        <w:t xml:space="preserve">The </w:t>
      </w:r>
      <w:r>
        <w:rPr>
          <w:b/>
          <w:color w:val="000000"/>
        </w:rPr>
        <w:t>named authority</w:t>
      </w:r>
      <w:r>
        <w:rPr>
          <w:color w:val="000000"/>
        </w:rPr>
        <w:t xml:space="preserve"> is the equivalent of a Head Consultant for Risk Management or Audit &amp; Review</w:t>
      </w:r>
    </w:p>
    <w:p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The </w:t>
      </w:r>
      <w:r>
        <w:rPr>
          <w:b/>
          <w:color w:val="000000"/>
        </w:rPr>
        <w:t>named authority</w:t>
      </w:r>
      <w:r>
        <w:rPr>
          <w:color w:val="000000"/>
        </w:rPr>
        <w:t xml:space="preserve"> must have oversight throughout the audit</w:t>
      </w:r>
    </w:p>
    <w:p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The </w:t>
      </w:r>
      <w:r>
        <w:rPr>
          <w:b/>
          <w:color w:val="000000"/>
        </w:rPr>
        <w:t>named authority</w:t>
      </w:r>
      <w:r>
        <w:rPr>
          <w:color w:val="000000"/>
        </w:rPr>
        <w:t xml:space="preserve"> must participate in the bespoke training provided by the NCSC or other training providing, and must agree to use and comply with the audit methodology specified by Government Security Group. The </w:t>
      </w:r>
      <w:r>
        <w:rPr>
          <w:b/>
          <w:color w:val="000000"/>
        </w:rPr>
        <w:t>named authority</w:t>
      </w:r>
      <w:r>
        <w:rPr>
          <w:color w:val="000000"/>
        </w:rPr>
        <w:t xml:space="preserve"> should disseminate the key elements of the training to other </w:t>
      </w:r>
      <w:proofErr w:type="spellStart"/>
      <w:r>
        <w:rPr>
          <w:color w:val="000000"/>
        </w:rPr>
        <w:t>GovAssure</w:t>
      </w:r>
      <w:proofErr w:type="spellEnd"/>
      <w:r>
        <w:rPr>
          <w:color w:val="000000"/>
        </w:rPr>
        <w:t xml:space="preserve"> team members, if they are not able to directly attend a training session. </w:t>
      </w:r>
    </w:p>
    <w:p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In the interests of transparency, the bidding authority and supplier must declare any potential conflicts of interest when it comes to providing assurance on a specific government system e.g. they may have been involved in the design of the system or CHECK pen testing previously, or involved in architectural design reviews. This won’t necessarily preclude that company from bidding for the work, but failure to declare any interests could preclude them from bidding for future </w:t>
      </w:r>
      <w:proofErr w:type="spellStart"/>
      <w:r>
        <w:rPr>
          <w:color w:val="000000"/>
        </w:rPr>
        <w:t>GovAssure</w:t>
      </w:r>
      <w:proofErr w:type="spellEnd"/>
      <w:r>
        <w:rPr>
          <w:color w:val="000000"/>
        </w:rPr>
        <w:t xml:space="preserve"> work</w:t>
      </w:r>
      <w:r>
        <w:t>.</w:t>
      </w:r>
    </w:p>
    <w:p w:rsidR="00AD7F1A" w:rsidRDefault="00136824">
      <w:pPr>
        <w:numPr>
          <w:ilvl w:val="0"/>
          <w:numId w:val="8"/>
        </w:numPr>
        <w:pBdr>
          <w:top w:val="nil"/>
          <w:left w:val="nil"/>
          <w:bottom w:val="nil"/>
          <w:right w:val="nil"/>
          <w:between w:val="nil"/>
        </w:pBdr>
        <w:spacing w:after="0" w:line="240" w:lineRule="auto"/>
      </w:pPr>
      <w:r>
        <w:t xml:space="preserve">[BEFORE APRIL 2026] If NCSC </w:t>
      </w:r>
      <w:proofErr w:type="spellStart"/>
      <w:r>
        <w:t>GovAssure</w:t>
      </w:r>
      <w:proofErr w:type="spellEnd"/>
      <w:r>
        <w:t xml:space="preserve"> - General T&amp;Cs of your contract with NCSC for Assured Consultancy and CHECK also apply to this agreement.</w:t>
      </w:r>
    </w:p>
    <w:p w:rsidR="00AD7F1A" w:rsidRDefault="00136824">
      <w:pPr>
        <w:numPr>
          <w:ilvl w:val="0"/>
          <w:numId w:val="8"/>
        </w:numPr>
        <w:pBdr>
          <w:top w:val="nil"/>
          <w:left w:val="nil"/>
          <w:bottom w:val="nil"/>
          <w:right w:val="nil"/>
          <w:between w:val="nil"/>
        </w:pBdr>
        <w:spacing w:after="0" w:line="240" w:lineRule="auto"/>
        <w:rPr>
          <w:color w:val="000000"/>
        </w:rPr>
      </w:pPr>
      <w:r>
        <w:rPr>
          <w:color w:val="000000"/>
        </w:rPr>
        <w:t>Team members must be willing to participate in lessons learned throughout first year (and any top-up training)</w:t>
      </w:r>
    </w:p>
    <w:p w:rsidR="00AD7F1A" w:rsidRDefault="00136824">
      <w:pPr>
        <w:numPr>
          <w:ilvl w:val="0"/>
          <w:numId w:val="8"/>
        </w:numPr>
        <w:pBdr>
          <w:top w:val="nil"/>
          <w:left w:val="nil"/>
          <w:bottom w:val="nil"/>
          <w:right w:val="nil"/>
          <w:between w:val="nil"/>
        </w:pBdr>
        <w:spacing w:after="0" w:line="240" w:lineRule="auto"/>
        <w:rPr>
          <w:color w:val="000000"/>
        </w:rPr>
      </w:pPr>
      <w:r>
        <w:rPr>
          <w:color w:val="000000"/>
        </w:rPr>
        <w:t xml:space="preserve">It is the responsibility of the </w:t>
      </w:r>
      <w:r>
        <w:rPr>
          <w:b/>
          <w:color w:val="000000"/>
        </w:rPr>
        <w:t xml:space="preserve">named authority </w:t>
      </w:r>
      <w:r>
        <w:rPr>
          <w:color w:val="000000"/>
        </w:rPr>
        <w:t xml:space="preserve">to ensure that the composition of the </w:t>
      </w:r>
      <w:proofErr w:type="spellStart"/>
      <w:r>
        <w:rPr>
          <w:color w:val="000000"/>
        </w:rPr>
        <w:t>GovAssure</w:t>
      </w:r>
      <w:proofErr w:type="spellEnd"/>
      <w:r>
        <w:rPr>
          <w:color w:val="000000"/>
        </w:rPr>
        <w:t xml:space="preserve"> review team reflects the skills needed (e.g. cyber technical, risk &amp; audit) to carry out a successful review.</w:t>
      </w:r>
    </w:p>
    <w:p w:rsidR="00AD7F1A" w:rsidRDefault="00136824">
      <w:pPr>
        <w:numPr>
          <w:ilvl w:val="0"/>
          <w:numId w:val="8"/>
        </w:numPr>
        <w:pBdr>
          <w:top w:val="nil"/>
          <w:left w:val="nil"/>
          <w:bottom w:val="nil"/>
          <w:right w:val="nil"/>
          <w:between w:val="nil"/>
        </w:pBdr>
        <w:spacing w:after="0" w:line="240" w:lineRule="auto"/>
        <w:rPr>
          <w:b/>
          <w:color w:val="000000"/>
        </w:rPr>
      </w:pPr>
      <w:r>
        <w:rPr>
          <w:b/>
          <w:color w:val="000000"/>
        </w:rPr>
        <w:t xml:space="preserve">All members of the </w:t>
      </w:r>
      <w:proofErr w:type="spellStart"/>
      <w:r>
        <w:rPr>
          <w:b/>
          <w:color w:val="000000"/>
        </w:rPr>
        <w:t>GovAssure</w:t>
      </w:r>
      <w:proofErr w:type="spellEnd"/>
      <w:r>
        <w:rPr>
          <w:b/>
          <w:color w:val="000000"/>
        </w:rPr>
        <w:t xml:space="preserve"> Review Team must be SC cleared and the named authority must have experience of working with HMG organisations.</w:t>
      </w:r>
    </w:p>
    <w:p w:rsidR="00AD7F1A" w:rsidRDefault="00AD7F1A">
      <w:pPr>
        <w:pBdr>
          <w:top w:val="nil"/>
          <w:left w:val="nil"/>
          <w:bottom w:val="nil"/>
          <w:right w:val="nil"/>
          <w:between w:val="nil"/>
        </w:pBdr>
        <w:spacing w:after="0" w:line="240" w:lineRule="auto"/>
        <w:rPr>
          <w:b/>
        </w:rPr>
      </w:pPr>
    </w:p>
    <w:p w:rsidR="00AD7F1A" w:rsidRDefault="00136824">
      <w:pPr>
        <w:spacing w:before="240" w:after="0" w:line="276" w:lineRule="auto"/>
        <w:jc w:val="both"/>
        <w:rPr>
          <w:b/>
        </w:rPr>
      </w:pPr>
      <w:r>
        <w:rPr>
          <w:b/>
        </w:rPr>
        <w:t xml:space="preserve">Until April 2026 the minimum accreditation requirements in order for a company to carry out the external </w:t>
      </w:r>
      <w:proofErr w:type="spellStart"/>
      <w:r>
        <w:rPr>
          <w:b/>
        </w:rPr>
        <w:t>GovAssure</w:t>
      </w:r>
      <w:proofErr w:type="spellEnd"/>
      <w:r>
        <w:rPr>
          <w:b/>
        </w:rPr>
        <w:t xml:space="preserve"> review remain the two service offerings detailed below.</w:t>
      </w:r>
    </w:p>
    <w:p w:rsidR="00AD7F1A" w:rsidRDefault="00136824">
      <w:pPr>
        <w:spacing w:before="240" w:after="0" w:line="276" w:lineRule="auto"/>
        <w:jc w:val="both"/>
        <w:rPr>
          <w:b/>
        </w:rPr>
      </w:pPr>
      <w:r>
        <w:rPr>
          <w:b/>
        </w:rPr>
        <w:t xml:space="preserve">Suppliers must only apply the relevant </w:t>
      </w:r>
      <w:proofErr w:type="spellStart"/>
      <w:r>
        <w:rPr>
          <w:b/>
        </w:rPr>
        <w:t>GovAssure</w:t>
      </w:r>
      <w:proofErr w:type="spellEnd"/>
      <w:r>
        <w:rPr>
          <w:b/>
        </w:rPr>
        <w:t xml:space="preserve"> filter if they are able to meet these requirements. In the event suppliers select these options in error, this may result in a supplier missing out on an opportunity, and will be deemed a supplier fault NOT CCS.</w:t>
      </w:r>
    </w:p>
    <w:p w:rsidR="00AD7F1A" w:rsidRDefault="00AD7F1A">
      <w:pPr>
        <w:widowControl w:val="0"/>
        <w:spacing w:after="0" w:line="240" w:lineRule="auto"/>
        <w:jc w:val="both"/>
      </w:pPr>
    </w:p>
    <w:p w:rsidR="00AD7F1A" w:rsidRDefault="00AD7F1A">
      <w:pPr>
        <w:widowControl w:val="0"/>
        <w:spacing w:after="0" w:line="240" w:lineRule="auto"/>
        <w:jc w:val="both"/>
      </w:pPr>
    </w:p>
    <w:p w:rsidR="00AD7F1A" w:rsidRDefault="00136824">
      <w:pPr>
        <w:widowControl w:val="0"/>
        <w:spacing w:after="0" w:line="240" w:lineRule="auto"/>
        <w:jc w:val="both"/>
        <w:rPr>
          <w:b/>
        </w:rPr>
      </w:pPr>
      <w:r>
        <w:rPr>
          <w:b/>
        </w:rPr>
        <w:t xml:space="preserve">NCSC </w:t>
      </w:r>
      <w:proofErr w:type="spellStart"/>
      <w:r>
        <w:rPr>
          <w:b/>
        </w:rPr>
        <w:t>GovAssure</w:t>
      </w:r>
      <w:proofErr w:type="spellEnd"/>
    </w:p>
    <w:p w:rsidR="00AD7F1A" w:rsidRDefault="00136824">
      <w:pPr>
        <w:spacing w:before="240" w:after="0" w:line="276" w:lineRule="auto"/>
      </w:pPr>
      <w:r>
        <w:t>To be eligible to select ‘</w:t>
      </w:r>
      <w:proofErr w:type="spellStart"/>
      <w:r>
        <w:t>GovAssure</w:t>
      </w:r>
      <w:proofErr w:type="spellEnd"/>
      <w:r>
        <w:t>’ through the NCSC Assured Route, organisations must already be active participants in 2 NCSC schemes as laid out below:</w:t>
      </w:r>
    </w:p>
    <w:p w:rsidR="00AD7F1A" w:rsidRDefault="00AD7F1A">
      <w:pPr>
        <w:spacing w:after="0" w:line="240" w:lineRule="auto"/>
      </w:pPr>
    </w:p>
    <w:p w:rsidR="00AD7F1A" w:rsidRDefault="00AD7F1A">
      <w:pPr>
        <w:widowControl w:val="0"/>
        <w:spacing w:after="0" w:line="240" w:lineRule="auto"/>
        <w:jc w:val="both"/>
      </w:pPr>
    </w:p>
    <w:tbl>
      <w:tblPr>
        <w:tblStyle w:val="af0"/>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16"/>
        <w:gridCol w:w="3117"/>
        <w:gridCol w:w="3117"/>
      </w:tblGrid>
      <w:tr w:rsidR="00AD7F1A">
        <w:tc>
          <w:tcPr>
            <w:tcW w:w="3116" w:type="dxa"/>
          </w:tcPr>
          <w:p w:rsidR="00AD7F1A" w:rsidRDefault="00136824">
            <w:pPr>
              <w:jc w:val="center"/>
            </w:pPr>
            <w:r>
              <w:rPr>
                <w:color w:val="000000"/>
              </w:rPr>
              <w:t>Assured Consultancy Risk Management</w:t>
            </w:r>
          </w:p>
          <w:p w:rsidR="00AD7F1A" w:rsidRDefault="00AD7F1A">
            <w:pPr>
              <w:jc w:val="center"/>
            </w:pPr>
          </w:p>
          <w:p w:rsidR="00AD7F1A" w:rsidRDefault="00136824">
            <w:pPr>
              <w:jc w:val="center"/>
            </w:pPr>
            <w:r>
              <w:rPr>
                <w:b/>
                <w:color w:val="000000"/>
              </w:rPr>
              <w:t>OR</w:t>
            </w:r>
          </w:p>
          <w:p w:rsidR="00AD7F1A" w:rsidRDefault="00AD7F1A">
            <w:pPr>
              <w:jc w:val="center"/>
            </w:pPr>
          </w:p>
          <w:p w:rsidR="00AD7F1A" w:rsidRDefault="00136824">
            <w:pPr>
              <w:jc w:val="center"/>
            </w:pPr>
            <w:r>
              <w:rPr>
                <w:color w:val="000000"/>
              </w:rPr>
              <w:t>Assured Consultancy Audit &amp; Review</w:t>
            </w:r>
          </w:p>
          <w:p w:rsidR="00AD7F1A" w:rsidRDefault="00AD7F1A">
            <w:pPr>
              <w:widowControl w:val="0"/>
              <w:jc w:val="center"/>
            </w:pPr>
          </w:p>
        </w:tc>
        <w:tc>
          <w:tcPr>
            <w:tcW w:w="3117" w:type="dxa"/>
          </w:tcPr>
          <w:p w:rsidR="00AD7F1A" w:rsidRDefault="00136824">
            <w:pPr>
              <w:widowControl w:val="0"/>
              <w:jc w:val="center"/>
            </w:pPr>
            <w:r>
              <w:rPr>
                <w:b/>
                <w:color w:val="000000"/>
              </w:rPr>
              <w:lastRenderedPageBreak/>
              <w:t>AND</w:t>
            </w:r>
          </w:p>
        </w:tc>
        <w:tc>
          <w:tcPr>
            <w:tcW w:w="3117" w:type="dxa"/>
          </w:tcPr>
          <w:p w:rsidR="00AD7F1A" w:rsidRDefault="00136824">
            <w:pPr>
              <w:jc w:val="center"/>
            </w:pPr>
            <w:r>
              <w:rPr>
                <w:color w:val="000000"/>
              </w:rPr>
              <w:t>Assured Consultancy Security</w:t>
            </w:r>
          </w:p>
          <w:p w:rsidR="00AD7F1A" w:rsidRDefault="00136824">
            <w:pPr>
              <w:jc w:val="center"/>
            </w:pPr>
            <w:r>
              <w:rPr>
                <w:color w:val="000000"/>
              </w:rPr>
              <w:lastRenderedPageBreak/>
              <w:t>Architecture</w:t>
            </w:r>
          </w:p>
          <w:p w:rsidR="00AD7F1A" w:rsidRDefault="00AD7F1A"/>
          <w:p w:rsidR="00AD7F1A" w:rsidRDefault="00136824">
            <w:pPr>
              <w:jc w:val="center"/>
            </w:pPr>
            <w:r>
              <w:rPr>
                <w:b/>
                <w:color w:val="000000"/>
              </w:rPr>
              <w:t>OR</w:t>
            </w:r>
          </w:p>
          <w:p w:rsidR="00AD7F1A" w:rsidRDefault="00AD7F1A"/>
          <w:p w:rsidR="00AD7F1A" w:rsidRDefault="00136824">
            <w:pPr>
              <w:jc w:val="center"/>
            </w:pPr>
            <w:r>
              <w:rPr>
                <w:color w:val="000000"/>
              </w:rPr>
              <w:t>CHECK Penetration Testing</w:t>
            </w:r>
          </w:p>
          <w:p w:rsidR="00AD7F1A" w:rsidRDefault="00AD7F1A">
            <w:pPr>
              <w:widowControl w:val="0"/>
              <w:jc w:val="both"/>
            </w:pPr>
          </w:p>
        </w:tc>
      </w:tr>
    </w:tbl>
    <w:p w:rsidR="00AD7F1A" w:rsidRDefault="00AD7F1A">
      <w:pPr>
        <w:widowControl w:val="0"/>
        <w:spacing w:after="0" w:line="240" w:lineRule="auto"/>
        <w:jc w:val="both"/>
      </w:pPr>
    </w:p>
    <w:p w:rsidR="00AD7F1A" w:rsidRDefault="00136824">
      <w:pPr>
        <w:widowControl w:val="0"/>
        <w:spacing w:after="0" w:line="240" w:lineRule="auto"/>
        <w:jc w:val="both"/>
        <w:rPr>
          <w:b/>
        </w:rPr>
      </w:pPr>
      <w:r>
        <w:rPr>
          <w:b/>
        </w:rPr>
        <w:t xml:space="preserve">Non-NCSC Assured </w:t>
      </w:r>
      <w:proofErr w:type="spellStart"/>
      <w:r>
        <w:rPr>
          <w:b/>
        </w:rPr>
        <w:t>GovAssure</w:t>
      </w:r>
      <w:proofErr w:type="spellEnd"/>
      <w:r>
        <w:rPr>
          <w:b/>
        </w:rPr>
        <w:t xml:space="preserve"> </w:t>
      </w:r>
    </w:p>
    <w:p w:rsidR="00AD7F1A" w:rsidRDefault="00136824">
      <w:pPr>
        <w:spacing w:after="0" w:line="240" w:lineRule="auto"/>
      </w:pPr>
      <w:r>
        <w:rPr>
          <w:color w:val="000000"/>
        </w:rPr>
        <w:t>To be eligible to select ‘</w:t>
      </w:r>
      <w:proofErr w:type="spellStart"/>
      <w:r>
        <w:rPr>
          <w:color w:val="000000"/>
        </w:rPr>
        <w:t>GovAssure</w:t>
      </w:r>
      <w:proofErr w:type="spellEnd"/>
      <w:r>
        <w:rPr>
          <w:color w:val="000000"/>
        </w:rPr>
        <w:t>’ through the Non-NCSC Assured Route, organisations</w:t>
      </w:r>
      <w:r>
        <w:t xml:space="preserve"> </w:t>
      </w:r>
      <w:r>
        <w:rPr>
          <w:color w:val="000000"/>
        </w:rPr>
        <w:t>must meet the below criteria:</w:t>
      </w:r>
    </w:p>
    <w:p w:rsidR="00AD7F1A" w:rsidRDefault="00AD7F1A">
      <w:pPr>
        <w:spacing w:after="0" w:line="240" w:lineRule="auto"/>
      </w:pPr>
    </w:p>
    <w:tbl>
      <w:tblPr>
        <w:tblStyle w:val="af1"/>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39"/>
        <w:gridCol w:w="5811"/>
      </w:tblGrid>
      <w:tr w:rsidR="00AD7F1A">
        <w:tc>
          <w:tcPr>
            <w:tcW w:w="3539" w:type="dxa"/>
          </w:tcPr>
          <w:p w:rsidR="00AD7F1A" w:rsidRDefault="00136824">
            <w:r>
              <w:rPr>
                <w:b/>
                <w:color w:val="000000"/>
              </w:rPr>
              <w:t xml:space="preserve">Overview requirements for a company to be on </w:t>
            </w:r>
            <w:proofErr w:type="spellStart"/>
            <w:r>
              <w:rPr>
                <w:b/>
                <w:color w:val="000000"/>
              </w:rPr>
              <w:t>GovAssure</w:t>
            </w:r>
            <w:proofErr w:type="spellEnd"/>
          </w:p>
        </w:tc>
        <w:tc>
          <w:tcPr>
            <w:tcW w:w="5811" w:type="dxa"/>
          </w:tcPr>
          <w:p w:rsidR="00AD7F1A" w:rsidRDefault="00136824">
            <w:pPr>
              <w:numPr>
                <w:ilvl w:val="0"/>
                <w:numId w:val="9"/>
              </w:numPr>
              <w:pBdr>
                <w:top w:val="nil"/>
                <w:left w:val="nil"/>
                <w:bottom w:val="nil"/>
                <w:right w:val="nil"/>
                <w:between w:val="nil"/>
              </w:pBdr>
              <w:rPr>
                <w:color w:val="000000"/>
              </w:rPr>
            </w:pPr>
            <w:r>
              <w:rPr>
                <w:color w:val="000000"/>
              </w:rPr>
              <w:t>Professional indemnity insurance</w:t>
            </w:r>
          </w:p>
          <w:p w:rsidR="00AD7F1A" w:rsidRDefault="00136824">
            <w:pPr>
              <w:numPr>
                <w:ilvl w:val="0"/>
                <w:numId w:val="9"/>
              </w:numPr>
              <w:pBdr>
                <w:top w:val="nil"/>
                <w:left w:val="nil"/>
                <w:bottom w:val="nil"/>
                <w:right w:val="nil"/>
                <w:between w:val="nil"/>
              </w:pBdr>
              <w:rPr>
                <w:color w:val="000000"/>
              </w:rPr>
            </w:pPr>
            <w:r>
              <w:rPr>
                <w:color w:val="000000"/>
              </w:rPr>
              <w:t>Management of the use of contractors</w:t>
            </w:r>
          </w:p>
          <w:p w:rsidR="00AD7F1A" w:rsidRDefault="00136824">
            <w:pPr>
              <w:numPr>
                <w:ilvl w:val="0"/>
                <w:numId w:val="9"/>
              </w:numPr>
              <w:pBdr>
                <w:top w:val="nil"/>
                <w:left w:val="nil"/>
                <w:bottom w:val="nil"/>
                <w:right w:val="nil"/>
                <w:between w:val="nil"/>
              </w:pBdr>
              <w:rPr>
                <w:color w:val="000000"/>
              </w:rPr>
            </w:pPr>
            <w:r>
              <w:rPr>
                <w:color w:val="000000"/>
              </w:rPr>
              <w:t>Staff vetting - minimum SC cleared for the review team members</w:t>
            </w:r>
          </w:p>
          <w:p w:rsidR="00AD7F1A" w:rsidRDefault="00136824">
            <w:pPr>
              <w:numPr>
                <w:ilvl w:val="0"/>
                <w:numId w:val="9"/>
              </w:numPr>
              <w:pBdr>
                <w:top w:val="nil"/>
                <w:left w:val="nil"/>
                <w:bottom w:val="nil"/>
                <w:right w:val="nil"/>
                <w:between w:val="nil"/>
              </w:pBdr>
              <w:rPr>
                <w:color w:val="000000"/>
              </w:rPr>
            </w:pPr>
            <w:r>
              <w:rPr>
                <w:color w:val="000000"/>
              </w:rPr>
              <w:t>Complaint handling</w:t>
            </w:r>
          </w:p>
          <w:p w:rsidR="00AD7F1A" w:rsidRDefault="00136824">
            <w:pPr>
              <w:numPr>
                <w:ilvl w:val="0"/>
                <w:numId w:val="9"/>
              </w:numPr>
              <w:pBdr>
                <w:top w:val="nil"/>
                <w:left w:val="nil"/>
                <w:bottom w:val="nil"/>
                <w:right w:val="nil"/>
                <w:between w:val="nil"/>
              </w:pBdr>
              <w:rPr>
                <w:color w:val="000000"/>
              </w:rPr>
            </w:pPr>
            <w:r>
              <w:rPr>
                <w:color w:val="000000"/>
              </w:rPr>
              <w:t>Data management &amp; security</w:t>
            </w:r>
          </w:p>
          <w:p w:rsidR="00AD7F1A" w:rsidRDefault="00136824">
            <w:pPr>
              <w:numPr>
                <w:ilvl w:val="0"/>
                <w:numId w:val="9"/>
              </w:numPr>
              <w:pBdr>
                <w:top w:val="nil"/>
                <w:left w:val="nil"/>
                <w:bottom w:val="nil"/>
                <w:right w:val="nil"/>
                <w:between w:val="nil"/>
              </w:pBdr>
              <w:rPr>
                <w:color w:val="000000"/>
              </w:rPr>
            </w:pPr>
            <w:r>
              <w:rPr>
                <w:color w:val="000000"/>
              </w:rPr>
              <w:t xml:space="preserve">Cyber Essentials plus certification and information security policies and processes to handle HMG information for the system on which all information relating to </w:t>
            </w:r>
            <w:proofErr w:type="spellStart"/>
            <w:r>
              <w:rPr>
                <w:color w:val="000000"/>
              </w:rPr>
              <w:t>GovAssure</w:t>
            </w:r>
            <w:proofErr w:type="spellEnd"/>
            <w:r>
              <w:rPr>
                <w:color w:val="000000"/>
              </w:rPr>
              <w:t xml:space="preserve"> work is held</w:t>
            </w:r>
          </w:p>
          <w:p w:rsidR="00AD7F1A" w:rsidRDefault="00136824">
            <w:pPr>
              <w:numPr>
                <w:ilvl w:val="0"/>
                <w:numId w:val="9"/>
              </w:numPr>
              <w:pBdr>
                <w:top w:val="nil"/>
                <w:left w:val="nil"/>
                <w:bottom w:val="nil"/>
                <w:right w:val="nil"/>
                <w:between w:val="nil"/>
              </w:pBdr>
              <w:rPr>
                <w:color w:val="000000"/>
              </w:rPr>
            </w:pPr>
            <w:r>
              <w:rPr>
                <w:color w:val="000000"/>
              </w:rPr>
              <w:t>Willingness to use HMG IT equipment</w:t>
            </w:r>
          </w:p>
          <w:p w:rsidR="00AD7F1A" w:rsidRDefault="00AD7F1A"/>
        </w:tc>
      </w:tr>
      <w:tr w:rsidR="00AD7F1A">
        <w:tc>
          <w:tcPr>
            <w:tcW w:w="3539" w:type="dxa"/>
          </w:tcPr>
          <w:p w:rsidR="00AD7F1A" w:rsidRDefault="00136824">
            <w:r>
              <w:rPr>
                <w:b/>
                <w:color w:val="000000"/>
              </w:rPr>
              <w:t>Cyber audit and risk management</w:t>
            </w:r>
          </w:p>
        </w:tc>
        <w:tc>
          <w:tcPr>
            <w:tcW w:w="5811" w:type="dxa"/>
          </w:tcPr>
          <w:p w:rsidR="00AD7F1A" w:rsidRDefault="00136824">
            <w:pPr>
              <w:pBdr>
                <w:top w:val="nil"/>
                <w:left w:val="nil"/>
                <w:bottom w:val="nil"/>
                <w:right w:val="nil"/>
                <w:between w:val="nil"/>
              </w:pBdr>
              <w:rPr>
                <w:color w:val="000000"/>
              </w:rPr>
            </w:pPr>
            <w:r>
              <w:rPr>
                <w:b/>
                <w:color w:val="000000"/>
              </w:rPr>
              <w:t>One of</w:t>
            </w:r>
            <w:r>
              <w:rPr>
                <w:color w:val="000000"/>
              </w:rPr>
              <w:t>:</w:t>
            </w:r>
          </w:p>
          <w:p w:rsidR="00AD7F1A" w:rsidRDefault="00136824">
            <w:pPr>
              <w:numPr>
                <w:ilvl w:val="0"/>
                <w:numId w:val="10"/>
              </w:numPr>
              <w:pBdr>
                <w:top w:val="nil"/>
                <w:left w:val="nil"/>
                <w:bottom w:val="nil"/>
                <w:right w:val="nil"/>
                <w:between w:val="nil"/>
              </w:pBdr>
              <w:rPr>
                <w:color w:val="000000"/>
              </w:rPr>
            </w:pPr>
            <w:r>
              <w:rPr>
                <w:color w:val="000000"/>
              </w:rPr>
              <w:t>ISO27001 Lead auditor</w:t>
            </w:r>
          </w:p>
          <w:p w:rsidR="00AD7F1A" w:rsidRDefault="00136824">
            <w:pPr>
              <w:numPr>
                <w:ilvl w:val="0"/>
                <w:numId w:val="10"/>
              </w:numPr>
              <w:pBdr>
                <w:top w:val="nil"/>
                <w:left w:val="nil"/>
                <w:bottom w:val="nil"/>
                <w:right w:val="nil"/>
                <w:between w:val="nil"/>
              </w:pBdr>
              <w:rPr>
                <w:color w:val="000000"/>
              </w:rPr>
            </w:pPr>
            <w:r>
              <w:rPr>
                <w:color w:val="000000"/>
              </w:rPr>
              <w:t>ISACA - Certified Information Security Auditor (CISA)</w:t>
            </w:r>
          </w:p>
          <w:p w:rsidR="00AD7F1A" w:rsidRDefault="00AD7F1A"/>
        </w:tc>
      </w:tr>
      <w:tr w:rsidR="00AD7F1A">
        <w:tc>
          <w:tcPr>
            <w:tcW w:w="3539" w:type="dxa"/>
          </w:tcPr>
          <w:p w:rsidR="00AD7F1A" w:rsidRDefault="00136824">
            <w:r>
              <w:rPr>
                <w:b/>
                <w:color w:val="000000"/>
              </w:rPr>
              <w:t>Technical Cyber Security Expert</w:t>
            </w:r>
          </w:p>
        </w:tc>
        <w:tc>
          <w:tcPr>
            <w:tcW w:w="5811" w:type="dxa"/>
          </w:tcPr>
          <w:p w:rsidR="00AD7F1A" w:rsidRDefault="00136824">
            <w:pPr>
              <w:numPr>
                <w:ilvl w:val="0"/>
                <w:numId w:val="11"/>
              </w:numPr>
              <w:pBdr>
                <w:top w:val="nil"/>
                <w:left w:val="nil"/>
                <w:bottom w:val="nil"/>
                <w:right w:val="nil"/>
                <w:between w:val="nil"/>
              </w:pBdr>
              <w:rPr>
                <w:color w:val="000000"/>
              </w:rPr>
            </w:pPr>
            <w:r>
              <w:rPr>
                <w:color w:val="000000"/>
              </w:rPr>
              <w:t>CREST Certified Penetration Tester</w:t>
            </w:r>
          </w:p>
          <w:p w:rsidR="00AD7F1A" w:rsidRDefault="00136824">
            <w:pPr>
              <w:numPr>
                <w:ilvl w:val="0"/>
                <w:numId w:val="11"/>
              </w:numPr>
              <w:pBdr>
                <w:top w:val="nil"/>
                <w:left w:val="nil"/>
                <w:bottom w:val="nil"/>
                <w:right w:val="nil"/>
                <w:between w:val="nil"/>
              </w:pBdr>
              <w:rPr>
                <w:color w:val="000000"/>
              </w:rPr>
            </w:pPr>
            <w:r>
              <w:rPr>
                <w:color w:val="000000"/>
              </w:rPr>
              <w:t>CREST Certified Infrastructure Tester</w:t>
            </w:r>
          </w:p>
          <w:p w:rsidR="00AD7F1A" w:rsidRDefault="00136824">
            <w:pPr>
              <w:numPr>
                <w:ilvl w:val="0"/>
                <w:numId w:val="11"/>
              </w:numPr>
              <w:pBdr>
                <w:top w:val="nil"/>
                <w:left w:val="nil"/>
                <w:bottom w:val="nil"/>
                <w:right w:val="nil"/>
                <w:between w:val="nil"/>
              </w:pBdr>
              <w:rPr>
                <w:color w:val="000000"/>
              </w:rPr>
            </w:pPr>
            <w:r>
              <w:rPr>
                <w:color w:val="000000"/>
              </w:rPr>
              <w:t>CREST Certified Web Applications Tester</w:t>
            </w:r>
          </w:p>
          <w:p w:rsidR="00AD7F1A" w:rsidRDefault="00136824">
            <w:pPr>
              <w:numPr>
                <w:ilvl w:val="0"/>
                <w:numId w:val="11"/>
              </w:numPr>
              <w:pBdr>
                <w:top w:val="nil"/>
                <w:left w:val="nil"/>
                <w:bottom w:val="nil"/>
                <w:right w:val="nil"/>
                <w:between w:val="nil"/>
              </w:pBdr>
              <w:rPr>
                <w:color w:val="000000"/>
              </w:rPr>
            </w:pPr>
            <w:r>
              <w:rPr>
                <w:color w:val="000000"/>
              </w:rPr>
              <w:t>CERT Certified Simulated Attack Specialist </w:t>
            </w:r>
          </w:p>
          <w:p w:rsidR="00AD7F1A" w:rsidRDefault="00136824">
            <w:pPr>
              <w:numPr>
                <w:ilvl w:val="0"/>
                <w:numId w:val="11"/>
              </w:numPr>
              <w:pBdr>
                <w:top w:val="nil"/>
                <w:left w:val="nil"/>
                <w:bottom w:val="nil"/>
                <w:right w:val="nil"/>
                <w:between w:val="nil"/>
              </w:pBdr>
              <w:rPr>
                <w:color w:val="000000"/>
              </w:rPr>
            </w:pPr>
            <w:r>
              <w:rPr>
                <w:color w:val="000000"/>
              </w:rPr>
              <w:t>CREST Certified Simulated Attack Manager</w:t>
            </w:r>
          </w:p>
          <w:p w:rsidR="00AD7F1A" w:rsidRDefault="00136824">
            <w:pPr>
              <w:numPr>
                <w:ilvl w:val="0"/>
                <w:numId w:val="11"/>
              </w:numPr>
              <w:pBdr>
                <w:top w:val="nil"/>
                <w:left w:val="nil"/>
                <w:bottom w:val="nil"/>
                <w:right w:val="nil"/>
                <w:between w:val="nil"/>
              </w:pBdr>
              <w:rPr>
                <w:color w:val="000000"/>
              </w:rPr>
            </w:pPr>
            <w:r>
              <w:rPr>
                <w:color w:val="000000"/>
              </w:rPr>
              <w:t>CREST Certified Intrusion Analyst</w:t>
            </w:r>
          </w:p>
          <w:p w:rsidR="00AD7F1A" w:rsidRDefault="00136824">
            <w:pPr>
              <w:numPr>
                <w:ilvl w:val="0"/>
                <w:numId w:val="11"/>
              </w:numPr>
              <w:pBdr>
                <w:top w:val="nil"/>
                <w:left w:val="nil"/>
                <w:bottom w:val="nil"/>
                <w:right w:val="nil"/>
                <w:between w:val="nil"/>
              </w:pBdr>
              <w:rPr>
                <w:color w:val="000000"/>
              </w:rPr>
            </w:pPr>
            <w:r>
              <w:rPr>
                <w:color w:val="000000"/>
              </w:rPr>
              <w:t>Cyber Scheme Team Leader (CSTL) </w:t>
            </w:r>
          </w:p>
          <w:p w:rsidR="00AD7F1A" w:rsidRDefault="00136824">
            <w:pPr>
              <w:numPr>
                <w:ilvl w:val="0"/>
                <w:numId w:val="11"/>
              </w:numPr>
              <w:pBdr>
                <w:top w:val="nil"/>
                <w:left w:val="nil"/>
                <w:bottom w:val="nil"/>
                <w:right w:val="nil"/>
                <w:between w:val="nil"/>
              </w:pBdr>
              <w:rPr>
                <w:color w:val="000000"/>
              </w:rPr>
            </w:pPr>
            <w:proofErr w:type="spellStart"/>
            <w:r>
              <w:rPr>
                <w:color w:val="000000"/>
              </w:rPr>
              <w:t>TigerScheme</w:t>
            </w:r>
            <w:proofErr w:type="spellEnd"/>
            <w:r>
              <w:rPr>
                <w:color w:val="000000"/>
              </w:rPr>
              <w:t xml:space="preserve"> CHECK Team Leader (CTL / SST)</w:t>
            </w:r>
          </w:p>
          <w:p w:rsidR="00AD7F1A" w:rsidRDefault="00AD7F1A"/>
        </w:tc>
      </w:tr>
      <w:tr w:rsidR="00AD7F1A">
        <w:tc>
          <w:tcPr>
            <w:tcW w:w="3539" w:type="dxa"/>
          </w:tcPr>
          <w:p w:rsidR="00AD7F1A" w:rsidRDefault="00136824">
            <w:r>
              <w:rPr>
                <w:b/>
                <w:color w:val="000000"/>
              </w:rPr>
              <w:t>Industrial Control Systems / Operational Technology Experts</w:t>
            </w:r>
          </w:p>
        </w:tc>
        <w:tc>
          <w:tcPr>
            <w:tcW w:w="5811" w:type="dxa"/>
          </w:tcPr>
          <w:p w:rsidR="00AD7F1A" w:rsidRDefault="00136824">
            <w:r>
              <w:rPr>
                <w:color w:val="000000"/>
              </w:rPr>
              <w:t>Optional if a department requires Operational Technology Experts</w:t>
            </w:r>
          </w:p>
        </w:tc>
      </w:tr>
    </w:tbl>
    <w:p w:rsidR="00AD7F1A" w:rsidRDefault="00AD7F1A">
      <w:pPr>
        <w:spacing w:after="0" w:line="240" w:lineRule="auto"/>
        <w:rPr>
          <w:rFonts w:ascii="Times New Roman" w:eastAsia="Times New Roman" w:hAnsi="Times New Roman" w:cs="Times New Roman"/>
        </w:rPr>
      </w:pPr>
    </w:p>
    <w:p w:rsidR="00AD7F1A" w:rsidRDefault="00AD7F1A">
      <w:pPr>
        <w:spacing w:after="0" w:line="240" w:lineRule="auto"/>
        <w:rPr>
          <w:rFonts w:ascii="Times New Roman" w:eastAsia="Times New Roman" w:hAnsi="Times New Roman" w:cs="Times New Roman"/>
        </w:rPr>
      </w:pPr>
    </w:p>
    <w:p w:rsidR="00AD7F1A" w:rsidRDefault="00136824">
      <w:pPr>
        <w:widowControl w:val="0"/>
        <w:spacing w:after="0" w:line="240" w:lineRule="auto"/>
        <w:jc w:val="both"/>
        <w:rPr>
          <w:b/>
        </w:rPr>
      </w:pPr>
      <w:r>
        <w:rPr>
          <w:b/>
        </w:rPr>
        <w:lastRenderedPageBreak/>
        <w:t>2.3.2 Cyber Resilience Audit</w:t>
      </w:r>
    </w:p>
    <w:p w:rsidR="00AD7F1A" w:rsidRDefault="00AD7F1A">
      <w:pPr>
        <w:widowControl w:val="0"/>
        <w:spacing w:after="0" w:line="240" w:lineRule="auto"/>
        <w:jc w:val="both"/>
      </w:pPr>
    </w:p>
    <w:p w:rsidR="00AD7F1A" w:rsidRDefault="00136824">
      <w:pPr>
        <w:widowControl w:val="0"/>
        <w:spacing w:after="0" w:line="240" w:lineRule="auto"/>
        <w:jc w:val="both"/>
      </w:pPr>
      <w:r>
        <w:t xml:space="preserve">The Cyber Resilience Audit Scheme gives buyers confidence in companies that have been assessed as meeting the NCSC standard for delivering independent CAF-based audits. For more information about the CAF please view the </w:t>
      </w:r>
      <w:hyperlink r:id="rId13">
        <w:r>
          <w:rPr>
            <w:color w:val="0000FF"/>
            <w:u w:val="single"/>
          </w:rPr>
          <w:t>Cyber Assessment Framework.</w:t>
        </w:r>
      </w:hyperlink>
    </w:p>
    <w:p w:rsidR="00AD7F1A" w:rsidRDefault="00AD7F1A">
      <w:pPr>
        <w:widowControl w:val="0"/>
        <w:spacing w:after="0" w:line="240" w:lineRule="auto"/>
        <w:jc w:val="both"/>
      </w:pPr>
    </w:p>
    <w:p w:rsidR="00AD7F1A" w:rsidRDefault="00136824">
      <w:pPr>
        <w:widowControl w:val="0"/>
        <w:spacing w:after="0" w:line="240" w:lineRule="auto"/>
        <w:jc w:val="both"/>
      </w:pPr>
      <w:r>
        <w:t>Buyers are likely to include (but are not limited to) government departments, the wider public sector, and organisations operating in Critical National Infrastructure or specifically-regulated sectors.  </w:t>
      </w:r>
    </w:p>
    <w:p w:rsidR="00AD7F1A" w:rsidRDefault="00AD7F1A">
      <w:pPr>
        <w:widowControl w:val="0"/>
        <w:spacing w:after="0" w:line="240" w:lineRule="auto"/>
        <w:jc w:val="both"/>
      </w:pPr>
    </w:p>
    <w:p w:rsidR="00AD7F1A" w:rsidRDefault="00136824">
      <w:pPr>
        <w:widowControl w:val="0"/>
        <w:spacing w:after="0" w:line="240" w:lineRule="auto"/>
        <w:jc w:val="both"/>
      </w:pPr>
      <w:r>
        <w:t>The output of audit reports will help sector oversight bodies to understand the level of cyber resilience of individual organisations in their sector and will also contribute to a more accurate picture of cyber resilience at both a sector and national level. </w:t>
      </w:r>
    </w:p>
    <w:p w:rsidR="00AD7F1A" w:rsidRDefault="00AD7F1A">
      <w:pPr>
        <w:widowControl w:val="0"/>
        <w:spacing w:after="0" w:line="240" w:lineRule="auto"/>
        <w:jc w:val="both"/>
      </w:pPr>
    </w:p>
    <w:p w:rsidR="00AD7F1A" w:rsidRDefault="00136824">
      <w:pPr>
        <w:widowControl w:val="0"/>
        <w:spacing w:after="0" w:line="240" w:lineRule="auto"/>
        <w:jc w:val="both"/>
      </w:pPr>
      <w:r>
        <w:t>The CR</w:t>
      </w:r>
      <w:bookmarkStart w:id="9" w:name="_GoBack"/>
      <w:bookmarkEnd w:id="9"/>
      <w:r>
        <w:t>A Scheme in its current iteration is a Minimum Viable Product. The NCSC expects to work with users and Suppliers to develop the Scheme in future. </w:t>
      </w:r>
    </w:p>
    <w:p w:rsidR="00AD7F1A" w:rsidRDefault="00AD7F1A">
      <w:pPr>
        <w:widowControl w:val="0"/>
        <w:spacing w:after="0" w:line="240" w:lineRule="auto"/>
        <w:jc w:val="both"/>
      </w:pPr>
    </w:p>
    <w:p w:rsidR="00AD7F1A" w:rsidRDefault="00136824">
      <w:pPr>
        <w:widowControl w:val="0"/>
        <w:spacing w:after="0" w:line="240" w:lineRule="auto"/>
        <w:jc w:val="both"/>
      </w:pPr>
      <w:r>
        <w:t>The pre-requisites for an application to the scheme are:</w:t>
      </w:r>
    </w:p>
    <w:p w:rsidR="00AD7F1A" w:rsidRDefault="00AD7F1A">
      <w:pPr>
        <w:widowControl w:val="0"/>
        <w:spacing w:after="0" w:line="240" w:lineRule="auto"/>
        <w:jc w:val="both"/>
      </w:pPr>
    </w:p>
    <w:p w:rsidR="00AD7F1A" w:rsidRDefault="00136824">
      <w:pPr>
        <w:widowControl w:val="0"/>
        <w:numPr>
          <w:ilvl w:val="0"/>
          <w:numId w:val="12"/>
        </w:numPr>
        <w:spacing w:after="0" w:line="240" w:lineRule="auto"/>
        <w:jc w:val="both"/>
      </w:pPr>
      <w:r>
        <w:t xml:space="preserve">Your proposed Head Consultant(s) holds UKCSC Cyber Security Audit &amp; Assurance specialism title at Chartered Level, </w:t>
      </w:r>
    </w:p>
    <w:p w:rsidR="00AD7F1A" w:rsidRDefault="00136824">
      <w:pPr>
        <w:widowControl w:val="0"/>
        <w:numPr>
          <w:ilvl w:val="1"/>
          <w:numId w:val="12"/>
        </w:numPr>
        <w:spacing w:after="0" w:line="240" w:lineRule="auto"/>
        <w:jc w:val="both"/>
        <w:rPr>
          <w:b/>
        </w:rPr>
      </w:pPr>
      <w:r>
        <w:t xml:space="preserve">Details of the UK CSC Chartership for the Cyber Security Audit &amp; Assurance specialism  can be found through The UK Cyber Security Council Professional Standards Page: </w:t>
      </w:r>
      <w:hyperlink r:id="rId14">
        <w:r>
          <w:rPr>
            <w:color w:val="0000FF"/>
            <w:u w:val="single"/>
          </w:rPr>
          <w:t>About Professional Standards (ukcybersecuritycouncil.org.uk)</w:t>
        </w:r>
      </w:hyperlink>
      <w:r>
        <w:t xml:space="preserve">. The current Licensing body for Chartering &amp; Professional Registrations is CIISEC, details of how to achieve chartership can be found at: </w:t>
      </w:r>
      <w:hyperlink r:id="rId15">
        <w:r>
          <w:rPr>
            <w:color w:val="0000FF"/>
            <w:u w:val="single"/>
          </w:rPr>
          <w:t xml:space="preserve">Chartering &amp; Professional Registration - </w:t>
        </w:r>
        <w:proofErr w:type="spellStart"/>
        <w:r>
          <w:rPr>
            <w:color w:val="0000FF"/>
            <w:u w:val="single"/>
          </w:rPr>
          <w:t>CIISec</w:t>
        </w:r>
        <w:proofErr w:type="spellEnd"/>
      </w:hyperlink>
      <w:r>
        <w:rPr>
          <w:b/>
        </w:rPr>
        <w:t xml:space="preserve">. </w:t>
      </w:r>
    </w:p>
    <w:p w:rsidR="00AD7F1A" w:rsidRDefault="00136824">
      <w:pPr>
        <w:widowControl w:val="0"/>
        <w:spacing w:after="0" w:line="240" w:lineRule="auto"/>
        <w:jc w:val="both"/>
      </w:pPr>
      <w:r>
        <w:t>and;</w:t>
      </w:r>
    </w:p>
    <w:p w:rsidR="00AD7F1A" w:rsidRDefault="00136824">
      <w:pPr>
        <w:widowControl w:val="0"/>
        <w:numPr>
          <w:ilvl w:val="0"/>
          <w:numId w:val="12"/>
        </w:numPr>
        <w:spacing w:after="0" w:line="240" w:lineRule="auto"/>
        <w:jc w:val="both"/>
      </w:pPr>
      <w:r>
        <w:t xml:space="preserve">The company holds a valid Cyber Essentials Plus Certificate. </w:t>
      </w:r>
    </w:p>
    <w:p w:rsidR="00AD7F1A" w:rsidRDefault="00136824">
      <w:pPr>
        <w:widowControl w:val="0"/>
        <w:numPr>
          <w:ilvl w:val="1"/>
          <w:numId w:val="12"/>
        </w:numPr>
        <w:spacing w:after="0" w:line="240" w:lineRule="auto"/>
        <w:jc w:val="both"/>
        <w:rPr>
          <w:color w:val="000000"/>
        </w:rPr>
      </w:pPr>
      <w:r>
        <w:t xml:space="preserve">Details of how to be achieve Cyber Essentials can be found at: </w:t>
      </w:r>
      <w:hyperlink r:id="rId16">
        <w:r>
          <w:rPr>
            <w:color w:val="0000FF"/>
            <w:u w:val="single"/>
          </w:rPr>
          <w:t>Cyber Essentials - Cyber Essentials (iasme.co.uk)</w:t>
        </w:r>
      </w:hyperlink>
    </w:p>
    <w:p w:rsidR="00AD7F1A" w:rsidRDefault="00AD7F1A">
      <w:pPr>
        <w:widowControl w:val="0"/>
        <w:spacing w:after="0" w:line="240" w:lineRule="auto"/>
        <w:jc w:val="both"/>
      </w:pPr>
    </w:p>
    <w:p w:rsidR="00AD7F1A" w:rsidRDefault="00136824">
      <w:pPr>
        <w:widowControl w:val="0"/>
        <w:spacing w:after="0" w:line="240" w:lineRule="auto"/>
        <w:jc w:val="both"/>
      </w:pPr>
      <w:r>
        <w:t>Further information on CRA can be found by viewing the following webpages:</w:t>
      </w:r>
    </w:p>
    <w:p w:rsidR="00AD7F1A" w:rsidRDefault="00AD7F1A">
      <w:pPr>
        <w:widowControl w:val="0"/>
        <w:spacing w:after="0" w:line="240" w:lineRule="auto"/>
        <w:jc w:val="both"/>
      </w:pPr>
    </w:p>
    <w:p w:rsidR="00AD7F1A" w:rsidRDefault="00E46AAB">
      <w:pPr>
        <w:widowControl w:val="0"/>
        <w:spacing w:after="0" w:line="240" w:lineRule="auto"/>
        <w:jc w:val="both"/>
      </w:pPr>
      <w:hyperlink r:id="rId17">
        <w:r w:rsidR="00136824">
          <w:rPr>
            <w:color w:val="0000FF"/>
            <w:u w:val="single"/>
          </w:rPr>
          <w:t>https://www.ncsc.gov.uk/schemes/cyber-resilience-audit</w:t>
        </w:r>
      </w:hyperlink>
    </w:p>
    <w:p w:rsidR="00AD7F1A" w:rsidRDefault="00E46AAB">
      <w:pPr>
        <w:widowControl w:val="0"/>
        <w:spacing w:after="0" w:line="240" w:lineRule="auto"/>
        <w:jc w:val="both"/>
      </w:pPr>
      <w:hyperlink r:id="rId18">
        <w:r w:rsidR="00136824">
          <w:rPr>
            <w:color w:val="0000FF"/>
            <w:u w:val="single"/>
          </w:rPr>
          <w:t>https://www.ncsc.gov.uk/files/cra-buyers-guide-sample-letter.pdf</w:t>
        </w:r>
      </w:hyperlink>
    </w:p>
    <w:p w:rsidR="00AD7F1A" w:rsidRDefault="00AD7F1A">
      <w:pPr>
        <w:widowControl w:val="0"/>
        <w:spacing w:after="0" w:line="240" w:lineRule="auto"/>
        <w:jc w:val="both"/>
      </w:pPr>
    </w:p>
    <w:p w:rsidR="00AD7F1A" w:rsidRDefault="00136824">
      <w:pPr>
        <w:pStyle w:val="Heading1"/>
        <w:numPr>
          <w:ilvl w:val="0"/>
          <w:numId w:val="4"/>
        </w:numPr>
        <w:ind w:left="851" w:hanging="851"/>
        <w:rPr>
          <w:b/>
          <w:color w:val="000000"/>
          <w:sz w:val="24"/>
          <w:szCs w:val="24"/>
        </w:rPr>
      </w:pPr>
      <w:bookmarkStart w:id="10" w:name="_heading=h.rrp6luxylt49" w:colFirst="0" w:colLast="0"/>
      <w:bookmarkEnd w:id="10"/>
      <w:r>
        <w:rPr>
          <w:b/>
          <w:color w:val="000000"/>
          <w:sz w:val="24"/>
          <w:szCs w:val="24"/>
        </w:rPr>
        <w:t>Accreditations and Standards</w:t>
      </w:r>
    </w:p>
    <w:p w:rsidR="00AD7F1A" w:rsidRDefault="00AD7F1A"/>
    <w:p w:rsidR="00AD7F1A" w:rsidRDefault="00136824">
      <w:pPr>
        <w:widowControl w:val="0"/>
        <w:spacing w:after="0" w:line="240" w:lineRule="auto"/>
        <w:jc w:val="both"/>
      </w:pPr>
      <w:r>
        <w:t>Buyers may also apply the following Filters as part of their Order Procedure. Suppliers must be able to demonstrate the relevant accreditation, standards, compliance or experience to satisfy the requirements of the relevant Filter.</w:t>
      </w:r>
    </w:p>
    <w:p w:rsidR="00AD7F1A" w:rsidRDefault="00AD7F1A">
      <w:pPr>
        <w:widowControl w:val="0"/>
        <w:spacing w:after="0" w:line="240" w:lineRule="auto"/>
        <w:jc w:val="both"/>
      </w:pPr>
    </w:p>
    <w:p w:rsidR="00AD7F1A" w:rsidRDefault="00136824">
      <w:pPr>
        <w:pBdr>
          <w:top w:val="nil"/>
          <w:left w:val="nil"/>
          <w:bottom w:val="nil"/>
          <w:right w:val="nil"/>
          <w:between w:val="nil"/>
        </w:pBdr>
        <w:spacing w:after="0" w:line="240" w:lineRule="auto"/>
        <w:rPr>
          <w:rFonts w:ascii="Times New Roman" w:eastAsia="Times New Roman" w:hAnsi="Times New Roman" w:cs="Times New Roman"/>
          <w:b/>
          <w:color w:val="000000"/>
        </w:rPr>
      </w:pPr>
      <w:r>
        <w:rPr>
          <w:b/>
          <w:color w:val="000000"/>
        </w:rPr>
        <w:t xml:space="preserve">Suppliers should only select accreditation, standards or experience that they CAN provide. </w:t>
      </w:r>
      <w:r>
        <w:rPr>
          <w:b/>
          <w:i/>
          <w:color w:val="222222"/>
          <w:highlight w:val="white"/>
        </w:rPr>
        <w:t>In the event suppliers select these options in error, this may result in a supplier missing out on an opportunity, and will be deemed a supplier fault NOT CCS.</w:t>
      </w:r>
    </w:p>
    <w:p w:rsidR="00AD7F1A" w:rsidRDefault="00AD7F1A"/>
    <w:tbl>
      <w:tblPr>
        <w:tblStyle w:val="af2"/>
        <w:tblW w:w="8790" w:type="dxa"/>
        <w:tblBorders>
          <w:top w:val="nil"/>
          <w:left w:val="nil"/>
          <w:bottom w:val="nil"/>
          <w:right w:val="nil"/>
          <w:insideH w:val="nil"/>
          <w:insideV w:val="nil"/>
        </w:tblBorders>
        <w:tblLayout w:type="fixed"/>
        <w:tblLook w:val="0600" w:firstRow="0" w:lastRow="0" w:firstColumn="0" w:lastColumn="0" w:noHBand="1" w:noVBand="1"/>
      </w:tblPr>
      <w:tblGrid>
        <w:gridCol w:w="4395"/>
        <w:gridCol w:w="4395"/>
      </w:tblGrid>
      <w:tr w:rsidR="00AD7F1A">
        <w:trPr>
          <w:trHeight w:val="30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AD7F1A" w:rsidRDefault="00136824">
            <w:pPr>
              <w:widowControl w:val="0"/>
            </w:pPr>
            <w:r>
              <w:t>Cyber Essentials Plus</w:t>
            </w:r>
          </w:p>
        </w:tc>
        <w:tc>
          <w:tcPr>
            <w:tcW w:w="4395" w:type="dxa"/>
            <w:vMerge w:val="restart"/>
            <w:tcBorders>
              <w:top w:val="single" w:sz="6" w:space="0" w:color="CCCCCC"/>
              <w:left w:val="single" w:sz="6" w:space="0" w:color="000000"/>
              <w:right w:val="single" w:sz="6" w:space="0" w:color="000000"/>
            </w:tcBorders>
          </w:tcPr>
          <w:p w:rsidR="00AD7F1A" w:rsidRDefault="00AD7F1A">
            <w:pPr>
              <w:widowControl w:val="0"/>
            </w:pPr>
          </w:p>
        </w:tc>
      </w:tr>
      <w:tr w:rsidR="00AD7F1A">
        <w:trPr>
          <w:trHeight w:val="30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AD7F1A" w:rsidRDefault="00136824">
            <w:pPr>
              <w:widowControl w:val="0"/>
            </w:pPr>
            <w:r>
              <w:t>Crest/ Tiger/ Cyber/ Other Qualified</w:t>
            </w:r>
          </w:p>
        </w:tc>
        <w:tc>
          <w:tcPr>
            <w:tcW w:w="4395" w:type="dxa"/>
            <w:vMerge/>
            <w:tcBorders>
              <w:top w:val="single" w:sz="6" w:space="0" w:color="CCCCCC"/>
              <w:left w:val="single" w:sz="6" w:space="0" w:color="000000"/>
              <w:right w:val="single" w:sz="6" w:space="0" w:color="000000"/>
            </w:tcBorders>
          </w:tcPr>
          <w:p w:rsidR="00AD7F1A" w:rsidRDefault="00AD7F1A">
            <w:pPr>
              <w:widowControl w:val="0"/>
              <w:pBdr>
                <w:top w:val="nil"/>
                <w:left w:val="nil"/>
                <w:bottom w:val="nil"/>
                <w:right w:val="nil"/>
                <w:between w:val="nil"/>
              </w:pBdr>
              <w:spacing w:after="0" w:line="276" w:lineRule="auto"/>
            </w:pPr>
          </w:p>
        </w:tc>
      </w:tr>
      <w:tr w:rsidR="00AD7F1A">
        <w:trPr>
          <w:trHeight w:val="26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AD7F1A" w:rsidRDefault="00136824">
            <w:pPr>
              <w:widowControl w:val="0"/>
            </w:pPr>
            <w:r>
              <w:t>PCI Assessor</w:t>
            </w:r>
          </w:p>
        </w:tc>
        <w:tc>
          <w:tcPr>
            <w:tcW w:w="4395" w:type="dxa"/>
            <w:vMerge/>
            <w:tcBorders>
              <w:top w:val="single" w:sz="6" w:space="0" w:color="CCCCCC"/>
              <w:left w:val="single" w:sz="6" w:space="0" w:color="000000"/>
              <w:right w:val="single" w:sz="6" w:space="0" w:color="000000"/>
            </w:tcBorders>
          </w:tcPr>
          <w:p w:rsidR="00AD7F1A" w:rsidRDefault="00AD7F1A">
            <w:pPr>
              <w:widowControl w:val="0"/>
              <w:pBdr>
                <w:top w:val="nil"/>
                <w:left w:val="nil"/>
                <w:bottom w:val="nil"/>
                <w:right w:val="nil"/>
                <w:between w:val="nil"/>
              </w:pBdr>
              <w:spacing w:after="0" w:line="276" w:lineRule="auto"/>
            </w:pPr>
          </w:p>
        </w:tc>
      </w:tr>
      <w:tr w:rsidR="00AD7F1A">
        <w:trPr>
          <w:trHeight w:val="30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AD7F1A" w:rsidRDefault="00136824">
            <w:pPr>
              <w:widowControl w:val="0"/>
            </w:pPr>
            <w:r>
              <w:t>Project Management - APM Qualified</w:t>
            </w:r>
          </w:p>
        </w:tc>
        <w:tc>
          <w:tcPr>
            <w:tcW w:w="4395" w:type="dxa"/>
            <w:vMerge/>
            <w:tcBorders>
              <w:top w:val="single" w:sz="6" w:space="0" w:color="CCCCCC"/>
              <w:left w:val="single" w:sz="6" w:space="0" w:color="000000"/>
              <w:right w:val="single" w:sz="6" w:space="0" w:color="000000"/>
            </w:tcBorders>
          </w:tcPr>
          <w:p w:rsidR="00AD7F1A" w:rsidRDefault="00AD7F1A">
            <w:pPr>
              <w:widowControl w:val="0"/>
              <w:pBdr>
                <w:top w:val="nil"/>
                <w:left w:val="nil"/>
                <w:bottom w:val="nil"/>
                <w:right w:val="nil"/>
                <w:between w:val="nil"/>
              </w:pBdr>
              <w:spacing w:after="0" w:line="276" w:lineRule="auto"/>
            </w:pPr>
          </w:p>
        </w:tc>
      </w:tr>
      <w:tr w:rsidR="00AD7F1A">
        <w:trPr>
          <w:trHeight w:val="28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center"/>
          </w:tcPr>
          <w:p w:rsidR="00AD7F1A" w:rsidRDefault="00136824">
            <w:pPr>
              <w:widowControl w:val="0"/>
            </w:pPr>
            <w:r>
              <w:t>Project Management - PRINCE Qualified</w:t>
            </w:r>
          </w:p>
        </w:tc>
        <w:tc>
          <w:tcPr>
            <w:tcW w:w="4395" w:type="dxa"/>
            <w:vMerge/>
            <w:tcBorders>
              <w:top w:val="single" w:sz="6" w:space="0" w:color="CCCCCC"/>
              <w:left w:val="single" w:sz="6" w:space="0" w:color="000000"/>
              <w:right w:val="single" w:sz="6" w:space="0" w:color="000000"/>
            </w:tcBorders>
          </w:tcPr>
          <w:p w:rsidR="00AD7F1A" w:rsidRDefault="00AD7F1A">
            <w:pPr>
              <w:widowControl w:val="0"/>
              <w:pBdr>
                <w:top w:val="nil"/>
                <w:left w:val="nil"/>
                <w:bottom w:val="nil"/>
                <w:right w:val="nil"/>
                <w:between w:val="nil"/>
              </w:pBdr>
              <w:spacing w:after="0" w:line="276" w:lineRule="auto"/>
            </w:pPr>
          </w:p>
        </w:tc>
      </w:tr>
      <w:tr w:rsidR="00AD7F1A">
        <w:trPr>
          <w:trHeight w:val="280"/>
        </w:trPr>
        <w:tc>
          <w:tcPr>
            <w:tcW w:w="4395" w:type="dxa"/>
            <w:tcBorders>
              <w:top w:val="single" w:sz="6" w:space="0" w:color="CCCCCC"/>
              <w:left w:val="single" w:sz="6" w:space="0" w:color="000000"/>
              <w:bottom w:val="single" w:sz="6" w:space="0" w:color="000000"/>
              <w:right w:val="single" w:sz="6" w:space="0" w:color="000000"/>
            </w:tcBorders>
            <w:tcMar>
              <w:top w:w="0" w:type="dxa"/>
              <w:left w:w="40" w:type="dxa"/>
              <w:bottom w:w="0" w:type="dxa"/>
              <w:right w:w="40" w:type="dxa"/>
            </w:tcMar>
            <w:vAlign w:val="bottom"/>
          </w:tcPr>
          <w:p w:rsidR="00AD7F1A" w:rsidRDefault="00136824">
            <w:pPr>
              <w:widowControl w:val="0"/>
            </w:pPr>
            <w:r>
              <w:t>Clearance: Counter Terrorist Check</w:t>
            </w:r>
          </w:p>
        </w:tc>
        <w:tc>
          <w:tcPr>
            <w:tcW w:w="4395" w:type="dxa"/>
            <w:vMerge/>
            <w:tcBorders>
              <w:top w:val="single" w:sz="6" w:space="0" w:color="CCCCCC"/>
              <w:left w:val="single" w:sz="6" w:space="0" w:color="000000"/>
              <w:right w:val="single" w:sz="6" w:space="0" w:color="000000"/>
            </w:tcBorders>
          </w:tcPr>
          <w:p w:rsidR="00AD7F1A" w:rsidRDefault="00AD7F1A">
            <w:pPr>
              <w:widowControl w:val="0"/>
              <w:pBdr>
                <w:top w:val="nil"/>
                <w:left w:val="nil"/>
                <w:bottom w:val="nil"/>
                <w:right w:val="nil"/>
                <w:between w:val="nil"/>
              </w:pBdr>
              <w:spacing w:after="0" w:line="276" w:lineRule="auto"/>
            </w:pPr>
          </w:p>
        </w:tc>
      </w:tr>
      <w:tr w:rsidR="00AD7F1A">
        <w:trPr>
          <w:trHeight w:val="280"/>
        </w:trPr>
        <w:tc>
          <w:tcPr>
            <w:tcW w:w="4395" w:type="dxa"/>
            <w:tcBorders>
              <w:top w:val="single" w:sz="6" w:space="0" w:color="CCCCCC"/>
              <w:left w:val="single" w:sz="6" w:space="0" w:color="000000"/>
              <w:bottom w:val="single" w:sz="4" w:space="0" w:color="000000"/>
              <w:right w:val="single" w:sz="6" w:space="0" w:color="000000"/>
            </w:tcBorders>
            <w:tcMar>
              <w:top w:w="0" w:type="dxa"/>
              <w:left w:w="40" w:type="dxa"/>
              <w:bottom w:w="0" w:type="dxa"/>
              <w:right w:w="40" w:type="dxa"/>
            </w:tcMar>
            <w:vAlign w:val="bottom"/>
          </w:tcPr>
          <w:p w:rsidR="00AD7F1A" w:rsidRDefault="00136824">
            <w:pPr>
              <w:widowControl w:val="0"/>
            </w:pPr>
            <w:r>
              <w:t>Clearance: Security Check</w:t>
            </w:r>
          </w:p>
        </w:tc>
        <w:tc>
          <w:tcPr>
            <w:tcW w:w="4395" w:type="dxa"/>
            <w:vMerge/>
            <w:tcBorders>
              <w:top w:val="single" w:sz="6" w:space="0" w:color="CCCCCC"/>
              <w:left w:val="single" w:sz="6" w:space="0" w:color="000000"/>
              <w:right w:val="single" w:sz="6" w:space="0" w:color="000000"/>
            </w:tcBorders>
          </w:tcPr>
          <w:p w:rsidR="00AD7F1A" w:rsidRDefault="00AD7F1A">
            <w:pPr>
              <w:widowControl w:val="0"/>
              <w:pBdr>
                <w:top w:val="nil"/>
                <w:left w:val="nil"/>
                <w:bottom w:val="nil"/>
                <w:right w:val="nil"/>
                <w:between w:val="nil"/>
              </w:pBdr>
              <w:spacing w:after="0" w:line="276" w:lineRule="auto"/>
            </w:pPr>
          </w:p>
        </w:tc>
      </w:tr>
      <w:tr w:rsidR="00AD7F1A">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rsidR="00AD7F1A" w:rsidRDefault="00136824">
            <w:pPr>
              <w:widowControl w:val="0"/>
            </w:pPr>
            <w:r>
              <w:t>Clearance: Developed Vetting</w:t>
            </w:r>
          </w:p>
        </w:tc>
        <w:tc>
          <w:tcPr>
            <w:tcW w:w="4395" w:type="dxa"/>
            <w:vMerge/>
            <w:tcBorders>
              <w:top w:val="single" w:sz="6" w:space="0" w:color="CCCCCC"/>
              <w:left w:val="single" w:sz="6" w:space="0" w:color="000000"/>
              <w:right w:val="single" w:sz="6" w:space="0" w:color="000000"/>
            </w:tcBorders>
          </w:tcPr>
          <w:p w:rsidR="00AD7F1A" w:rsidRDefault="00AD7F1A">
            <w:pPr>
              <w:widowControl w:val="0"/>
              <w:pBdr>
                <w:top w:val="nil"/>
                <w:left w:val="nil"/>
                <w:bottom w:val="nil"/>
                <w:right w:val="nil"/>
                <w:between w:val="nil"/>
              </w:pBdr>
              <w:spacing w:after="0" w:line="276" w:lineRule="auto"/>
            </w:pPr>
          </w:p>
        </w:tc>
      </w:tr>
      <w:tr w:rsidR="00AD7F1A">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rsidR="00AD7F1A" w:rsidRDefault="00136824">
            <w:pPr>
              <w:widowControl w:val="0"/>
            </w:pPr>
            <w:r>
              <w:t>NPPV (Non-Police Personnel Vetting)</w:t>
            </w:r>
          </w:p>
        </w:tc>
        <w:tc>
          <w:tcPr>
            <w:tcW w:w="4395" w:type="dxa"/>
            <w:vMerge/>
            <w:tcBorders>
              <w:top w:val="single" w:sz="6" w:space="0" w:color="CCCCCC"/>
              <w:left w:val="single" w:sz="6" w:space="0" w:color="000000"/>
              <w:right w:val="single" w:sz="6" w:space="0" w:color="000000"/>
            </w:tcBorders>
          </w:tcPr>
          <w:p w:rsidR="00AD7F1A" w:rsidRDefault="00AD7F1A">
            <w:pPr>
              <w:widowControl w:val="0"/>
              <w:pBdr>
                <w:top w:val="nil"/>
                <w:left w:val="nil"/>
                <w:bottom w:val="nil"/>
                <w:right w:val="nil"/>
                <w:between w:val="nil"/>
              </w:pBdr>
              <w:spacing w:after="0" w:line="276" w:lineRule="auto"/>
            </w:pPr>
          </w:p>
        </w:tc>
      </w:tr>
      <w:tr w:rsidR="00AD7F1A">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rsidR="00AD7F1A" w:rsidRDefault="00136824">
            <w:pPr>
              <w:widowControl w:val="0"/>
            </w:pPr>
            <w:r>
              <w:t>Defence Assurance Risk Tool (DART)</w:t>
            </w:r>
          </w:p>
        </w:tc>
        <w:tc>
          <w:tcPr>
            <w:tcW w:w="4395" w:type="dxa"/>
            <w:vMerge/>
            <w:tcBorders>
              <w:top w:val="single" w:sz="6" w:space="0" w:color="CCCCCC"/>
              <w:left w:val="single" w:sz="6" w:space="0" w:color="000000"/>
              <w:right w:val="single" w:sz="6" w:space="0" w:color="000000"/>
            </w:tcBorders>
          </w:tcPr>
          <w:p w:rsidR="00AD7F1A" w:rsidRDefault="00AD7F1A">
            <w:pPr>
              <w:widowControl w:val="0"/>
              <w:pBdr>
                <w:top w:val="nil"/>
                <w:left w:val="nil"/>
                <w:bottom w:val="nil"/>
                <w:right w:val="nil"/>
                <w:between w:val="nil"/>
              </w:pBdr>
              <w:spacing w:after="0" w:line="276" w:lineRule="auto"/>
            </w:pPr>
          </w:p>
        </w:tc>
      </w:tr>
      <w:tr w:rsidR="00AD7F1A">
        <w:trPr>
          <w:trHeight w:val="280"/>
        </w:trPr>
        <w:tc>
          <w:tcPr>
            <w:tcW w:w="4395" w:type="dxa"/>
            <w:tcBorders>
              <w:top w:val="single" w:sz="4" w:space="0" w:color="000000"/>
              <w:left w:val="single" w:sz="4" w:space="0" w:color="000000"/>
              <w:bottom w:val="single" w:sz="4" w:space="0" w:color="000000"/>
              <w:right w:val="single" w:sz="6" w:space="0" w:color="000000"/>
            </w:tcBorders>
            <w:tcMar>
              <w:top w:w="0" w:type="dxa"/>
              <w:left w:w="40" w:type="dxa"/>
              <w:bottom w:w="0" w:type="dxa"/>
              <w:right w:w="40" w:type="dxa"/>
            </w:tcMar>
            <w:vAlign w:val="center"/>
          </w:tcPr>
          <w:p w:rsidR="00AD7F1A" w:rsidRDefault="00136824">
            <w:pPr>
              <w:widowControl w:val="0"/>
            </w:pPr>
            <w:r>
              <w:t>ISO 27001</w:t>
            </w:r>
          </w:p>
        </w:tc>
        <w:tc>
          <w:tcPr>
            <w:tcW w:w="4395" w:type="dxa"/>
            <w:vMerge/>
            <w:tcBorders>
              <w:top w:val="single" w:sz="6" w:space="0" w:color="CCCCCC"/>
              <w:left w:val="single" w:sz="6" w:space="0" w:color="000000"/>
              <w:right w:val="single" w:sz="6" w:space="0" w:color="000000"/>
            </w:tcBorders>
          </w:tcPr>
          <w:p w:rsidR="00AD7F1A" w:rsidRDefault="00AD7F1A">
            <w:pPr>
              <w:widowControl w:val="0"/>
              <w:pBdr>
                <w:top w:val="nil"/>
                <w:left w:val="nil"/>
                <w:bottom w:val="nil"/>
                <w:right w:val="nil"/>
                <w:between w:val="nil"/>
              </w:pBdr>
              <w:spacing w:after="0" w:line="276" w:lineRule="auto"/>
            </w:pPr>
          </w:p>
        </w:tc>
      </w:tr>
      <w:tr w:rsidR="00AD7F1A">
        <w:trPr>
          <w:trHeight w:val="280"/>
        </w:trPr>
        <w:tc>
          <w:tcPr>
            <w:tcW w:w="43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AD7F1A" w:rsidRDefault="00136824">
            <w:pPr>
              <w:widowControl w:val="0"/>
            </w:pPr>
            <w:r>
              <w:t>UK CSC Chartered</w:t>
            </w:r>
          </w:p>
        </w:tc>
        <w:tc>
          <w:tcPr>
            <w:tcW w:w="4395" w:type="dxa"/>
            <w:tcBorders>
              <w:top w:val="single" w:sz="4" w:space="0" w:color="000000"/>
              <w:left w:val="single" w:sz="4" w:space="0" w:color="000000"/>
              <w:bottom w:val="single" w:sz="4" w:space="0" w:color="000000"/>
              <w:right w:val="single" w:sz="4" w:space="0" w:color="000000"/>
            </w:tcBorders>
            <w:shd w:val="clear" w:color="auto" w:fill="auto"/>
          </w:tcPr>
          <w:p w:rsidR="00AD7F1A" w:rsidRDefault="00136824">
            <w:pPr>
              <w:widowControl w:val="0"/>
              <w:rPr>
                <w:color w:val="000000"/>
                <w:highlight w:val="white"/>
              </w:rPr>
            </w:pPr>
            <w:r>
              <w:rPr>
                <w:color w:val="000000"/>
                <w:highlight w:val="white"/>
              </w:rPr>
              <w:t>Please select the specialisms that your organisation can provide at UK CSC Chartered level:</w:t>
            </w:r>
          </w:p>
          <w:p w:rsidR="00AD7F1A" w:rsidRDefault="00AD7F1A">
            <w:pPr>
              <w:widowControl w:val="0"/>
              <w:rPr>
                <w:color w:val="000000"/>
                <w:highlight w:val="white"/>
              </w:rPr>
            </w:pP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Governance and Risk Management</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Secure System Architecture &amp; Design</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Audit &amp; Assurance</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Security Testing</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Incident Response</w:t>
            </w:r>
          </w:p>
        </w:tc>
      </w:tr>
      <w:tr w:rsidR="00AD7F1A">
        <w:trPr>
          <w:trHeight w:val="280"/>
        </w:trPr>
        <w:tc>
          <w:tcPr>
            <w:tcW w:w="43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AD7F1A" w:rsidRDefault="00136824">
            <w:pPr>
              <w:widowControl w:val="0"/>
            </w:pPr>
            <w:r>
              <w:t>UK CSC Principal</w:t>
            </w:r>
          </w:p>
        </w:tc>
        <w:tc>
          <w:tcPr>
            <w:tcW w:w="4395" w:type="dxa"/>
            <w:tcBorders>
              <w:top w:val="single" w:sz="4" w:space="0" w:color="000000"/>
              <w:left w:val="single" w:sz="4" w:space="0" w:color="000000"/>
              <w:bottom w:val="single" w:sz="4" w:space="0" w:color="000000"/>
              <w:right w:val="single" w:sz="4" w:space="0" w:color="000000"/>
            </w:tcBorders>
          </w:tcPr>
          <w:p w:rsidR="00AD7F1A" w:rsidRDefault="00136824">
            <w:pPr>
              <w:widowControl w:val="0"/>
              <w:rPr>
                <w:color w:val="000000"/>
                <w:highlight w:val="white"/>
              </w:rPr>
            </w:pPr>
            <w:r>
              <w:rPr>
                <w:color w:val="000000"/>
                <w:highlight w:val="white"/>
              </w:rPr>
              <w:t>Please select the specialisms that your organisation can provide at UK CSC Principal level:</w:t>
            </w:r>
          </w:p>
          <w:p w:rsidR="00AD7F1A" w:rsidRDefault="00AD7F1A">
            <w:pPr>
              <w:widowControl w:val="0"/>
              <w:rPr>
                <w:color w:val="000000"/>
                <w:highlight w:val="white"/>
              </w:rPr>
            </w:pP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Governance and Risk Management</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Secure System Architecture &amp; Design</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Audit &amp; Assurance</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Security Testing</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Incident Response</w:t>
            </w:r>
          </w:p>
        </w:tc>
      </w:tr>
      <w:tr w:rsidR="00AD7F1A">
        <w:trPr>
          <w:trHeight w:val="280"/>
        </w:trPr>
        <w:tc>
          <w:tcPr>
            <w:tcW w:w="4395" w:type="dxa"/>
            <w:tcBorders>
              <w:top w:val="single" w:sz="4" w:space="0" w:color="000000"/>
              <w:left w:val="single" w:sz="4" w:space="0" w:color="000000"/>
              <w:bottom w:val="single" w:sz="4" w:space="0" w:color="000000"/>
              <w:right w:val="single" w:sz="4" w:space="0" w:color="000000"/>
            </w:tcBorders>
            <w:tcMar>
              <w:top w:w="0" w:type="dxa"/>
              <w:left w:w="40" w:type="dxa"/>
              <w:bottom w:w="0" w:type="dxa"/>
              <w:right w:w="40" w:type="dxa"/>
            </w:tcMar>
            <w:vAlign w:val="center"/>
          </w:tcPr>
          <w:p w:rsidR="00AD7F1A" w:rsidRDefault="00136824">
            <w:pPr>
              <w:widowControl w:val="0"/>
            </w:pPr>
            <w:r>
              <w:lastRenderedPageBreak/>
              <w:t>UK CSC Practitioner</w:t>
            </w:r>
          </w:p>
        </w:tc>
        <w:tc>
          <w:tcPr>
            <w:tcW w:w="4395" w:type="dxa"/>
            <w:tcBorders>
              <w:top w:val="single" w:sz="4" w:space="0" w:color="000000"/>
              <w:left w:val="single" w:sz="4" w:space="0" w:color="000000"/>
              <w:bottom w:val="single" w:sz="4" w:space="0" w:color="000000"/>
              <w:right w:val="single" w:sz="4" w:space="0" w:color="000000"/>
            </w:tcBorders>
          </w:tcPr>
          <w:p w:rsidR="00AD7F1A" w:rsidRDefault="00136824">
            <w:pPr>
              <w:widowControl w:val="0"/>
              <w:rPr>
                <w:color w:val="000000"/>
                <w:highlight w:val="white"/>
              </w:rPr>
            </w:pPr>
            <w:r>
              <w:rPr>
                <w:color w:val="000000"/>
                <w:highlight w:val="white"/>
              </w:rPr>
              <w:t>Please select the specialisms that your organisation can provide at UK CSC Practitioner level:</w:t>
            </w:r>
          </w:p>
          <w:p w:rsidR="00AD7F1A" w:rsidRDefault="00AD7F1A">
            <w:pPr>
              <w:widowControl w:val="0"/>
              <w:rPr>
                <w:color w:val="000000"/>
                <w:highlight w:val="white"/>
              </w:rPr>
            </w:pP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Governance and Risk Management</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Secure System Architecture &amp; Design</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Cyber Security Audit &amp; Assurance</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Security Testing</w:t>
            </w:r>
          </w:p>
          <w:p w:rsidR="00AD7F1A" w:rsidRDefault="00136824">
            <w:pPr>
              <w:widowControl w:val="0"/>
              <w:numPr>
                <w:ilvl w:val="0"/>
                <w:numId w:val="13"/>
              </w:numPr>
              <w:pBdr>
                <w:top w:val="nil"/>
                <w:left w:val="nil"/>
                <w:bottom w:val="nil"/>
                <w:right w:val="nil"/>
                <w:between w:val="nil"/>
              </w:pBdr>
              <w:spacing w:after="0"/>
              <w:rPr>
                <w:color w:val="000000"/>
                <w:highlight w:val="white"/>
              </w:rPr>
            </w:pPr>
            <w:r>
              <w:rPr>
                <w:color w:val="000000"/>
                <w:highlight w:val="white"/>
              </w:rPr>
              <w:t>Incident Response</w:t>
            </w:r>
          </w:p>
        </w:tc>
      </w:tr>
    </w:tbl>
    <w:p w:rsidR="00AD7F1A" w:rsidRDefault="00AD7F1A"/>
    <w:p w:rsidR="00AD7F1A" w:rsidRDefault="00136824">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b/>
          <w:color w:val="000000"/>
          <w:sz w:val="22"/>
          <w:szCs w:val="22"/>
        </w:rPr>
        <w:t>UK CSC Professional Standards and Professional Registration</w:t>
      </w:r>
    </w:p>
    <w:p w:rsidR="00AD7F1A" w:rsidRDefault="00136824">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color w:val="000000"/>
          <w:sz w:val="22"/>
          <w:szCs w:val="22"/>
        </w:rPr>
        <w:t>The UK Cyber Security Council (UK CSC) is an organisation which has been granted Royal Chartered Status and is now able to set industry standards and award professional titles to those working within the cyber profession.</w:t>
      </w:r>
    </w:p>
    <w:p w:rsidR="00AD7F1A" w:rsidRDefault="00136824">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color w:val="000000"/>
          <w:sz w:val="22"/>
          <w:szCs w:val="22"/>
        </w:rPr>
        <w:t>The UK CSC have introduced professional standards for the industry which will help bring clarity for both cyber practitioners and buyers looking for cyber expertise.</w:t>
      </w:r>
    </w:p>
    <w:p w:rsidR="00AD7F1A" w:rsidRDefault="00136824">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color w:val="000000"/>
          <w:sz w:val="22"/>
          <w:szCs w:val="22"/>
        </w:rPr>
        <w:t>To find out more regarding the standards please refer to the Council website.</w:t>
      </w:r>
    </w:p>
    <w:p w:rsidR="00AD7F1A" w:rsidRDefault="00136824">
      <w:pPr>
        <w:pBdr>
          <w:top w:val="nil"/>
          <w:left w:val="nil"/>
          <w:bottom w:val="nil"/>
          <w:right w:val="nil"/>
          <w:between w:val="nil"/>
        </w:pBdr>
        <w:spacing w:before="240" w:after="240" w:line="240" w:lineRule="auto"/>
        <w:rPr>
          <w:rFonts w:ascii="Times New Roman" w:eastAsia="Times New Roman" w:hAnsi="Times New Roman" w:cs="Times New Roman"/>
          <w:color w:val="000000"/>
        </w:rPr>
      </w:pPr>
      <w:r>
        <w:rPr>
          <w:color w:val="000000"/>
          <w:sz w:val="22"/>
          <w:szCs w:val="22"/>
        </w:rPr>
        <w:t>The professional standards included in the RM3764.3 Cyber DPS are as follows:</w:t>
      </w:r>
    </w:p>
    <w:tbl>
      <w:tblPr>
        <w:tblStyle w:val="af3"/>
        <w:tblW w:w="9350" w:type="dxa"/>
        <w:tblLayout w:type="fixed"/>
        <w:tblLook w:val="0400" w:firstRow="0" w:lastRow="0" w:firstColumn="0" w:lastColumn="0" w:noHBand="0" w:noVBand="1"/>
      </w:tblPr>
      <w:tblGrid>
        <w:gridCol w:w="2092"/>
        <w:gridCol w:w="7258"/>
      </w:tblGrid>
      <w:tr w:rsidR="00AD7F1A">
        <w:trPr>
          <w:trHeight w:val="1290"/>
        </w:trPr>
        <w:tc>
          <w:tcPr>
            <w:tcW w:w="209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Chartered Cyber Security Professional (</w:t>
            </w:r>
            <w:proofErr w:type="spellStart"/>
            <w:r>
              <w:rPr>
                <w:color w:val="000000"/>
                <w:sz w:val="22"/>
                <w:szCs w:val="22"/>
              </w:rPr>
              <w:t>ChCSP</w:t>
            </w:r>
            <w:proofErr w:type="spellEnd"/>
            <w:r>
              <w:rPr>
                <w:color w:val="000000"/>
                <w:sz w:val="22"/>
                <w:szCs w:val="22"/>
              </w:rPr>
              <w:t>)</w:t>
            </w:r>
          </w:p>
        </w:tc>
        <w:tc>
          <w:tcPr>
            <w:tcW w:w="725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A Chartered Cyber Security Professional has both depth and breadth of experience and knowledge. They are an acknowledged expert in one specialism with significant experience in other areas. They are capable of leading interdisciplinary teams and can oversee a multifaceted cyber security project, engagement or long-term posture.</w:t>
            </w:r>
          </w:p>
        </w:tc>
      </w:tr>
      <w:tr w:rsidR="00AD7F1A">
        <w:trPr>
          <w:trHeight w:val="1035"/>
        </w:trPr>
        <w:tc>
          <w:tcPr>
            <w:tcW w:w="209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lastRenderedPageBreak/>
              <w:t>Principal Cyber Security Professional (</w:t>
            </w:r>
            <w:proofErr w:type="spellStart"/>
            <w:r>
              <w:rPr>
                <w:color w:val="000000"/>
                <w:sz w:val="22"/>
                <w:szCs w:val="22"/>
              </w:rPr>
              <w:t>PriCSP</w:t>
            </w:r>
            <w:proofErr w:type="spellEnd"/>
            <w:r>
              <w:rPr>
                <w:color w:val="000000"/>
                <w:sz w:val="22"/>
                <w:szCs w:val="22"/>
              </w:rPr>
              <w:t>)</w:t>
            </w:r>
          </w:p>
        </w:tc>
        <w:tc>
          <w:tcPr>
            <w:tcW w:w="725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A Principal Cyber Security Professional has deep experience and is an expert in one specialism, and some experience of others. They are capable of leading a team or engagement within their specialism. </w:t>
            </w:r>
          </w:p>
        </w:tc>
      </w:tr>
      <w:tr w:rsidR="00AD7F1A">
        <w:trPr>
          <w:trHeight w:val="1035"/>
        </w:trPr>
        <w:tc>
          <w:tcPr>
            <w:tcW w:w="2092"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Practitioner Cyber Security Professional (</w:t>
            </w:r>
            <w:proofErr w:type="spellStart"/>
            <w:r>
              <w:rPr>
                <w:color w:val="000000"/>
                <w:sz w:val="22"/>
                <w:szCs w:val="22"/>
              </w:rPr>
              <w:t>PraCSP</w:t>
            </w:r>
            <w:proofErr w:type="spellEnd"/>
            <w:r>
              <w:rPr>
                <w:color w:val="000000"/>
                <w:sz w:val="22"/>
                <w:szCs w:val="22"/>
              </w:rPr>
              <w:t>)</w:t>
            </w:r>
          </w:p>
        </w:tc>
        <w:tc>
          <w:tcPr>
            <w:tcW w:w="7258" w:type="dxa"/>
            <w:tcBorders>
              <w:top w:val="single" w:sz="4" w:space="0" w:color="000000"/>
              <w:left w:val="single" w:sz="4" w:space="0" w:color="000000"/>
              <w:bottom w:val="single" w:sz="4" w:space="0" w:color="000000"/>
              <w:right w:val="single" w:sz="4" w:space="0" w:color="000000"/>
            </w:tcBorders>
            <w:tcMar>
              <w:top w:w="0" w:type="dxa"/>
              <w:left w:w="100" w:type="dxa"/>
              <w:bottom w:w="0" w:type="dxa"/>
              <w:right w:w="100" w:type="dxa"/>
            </w:tcMar>
          </w:tcPr>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A Practitioner Cyber Security Professional is an experienced professional in one specialism, with awareness of others. They can operate independently and work within teams, and are capable of some supervision of other professionals. </w:t>
            </w:r>
          </w:p>
        </w:tc>
      </w:tr>
    </w:tbl>
    <w:p w:rsidR="00AD7F1A" w:rsidRDefault="00AD7F1A">
      <w:pPr>
        <w:pBdr>
          <w:top w:val="nil"/>
          <w:left w:val="nil"/>
          <w:bottom w:val="nil"/>
          <w:right w:val="nil"/>
          <w:between w:val="nil"/>
        </w:pBdr>
        <w:spacing w:before="240" w:after="240" w:line="240" w:lineRule="auto"/>
        <w:rPr>
          <w:rFonts w:ascii="Times New Roman" w:eastAsia="Times New Roman" w:hAnsi="Times New Roman" w:cs="Times New Roman"/>
          <w:color w:val="000000"/>
        </w:rPr>
      </w:pPr>
    </w:p>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 xml:space="preserve">The UK CSC sets out clear assessment criteria, if selecting any of the above standards you must have suitably qualified cyber professionals that have undergone the relevant assessments. It is important to note that professional titles are issued to individual professionals and do not cover the supplier organisation. </w:t>
      </w:r>
    </w:p>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 xml:space="preserve">UK CSC recognises 15 specialisms in cyber security which refer to types of cyber security activity as opposed to specific technologies. Professionals are assessed in one of these specialisms. 5 of the specialisms have now been launched and have subsequently been added as filters on the RM3764.3 Cyber Security Services 3 DPS. The remaining 8 specialisms will be added in due course. For each professional standard you must also select the specialisms that apply. </w:t>
      </w:r>
    </w:p>
    <w:p w:rsidR="00AD7F1A" w:rsidRDefault="00136824">
      <w:pPr>
        <w:pBdr>
          <w:top w:val="nil"/>
          <w:left w:val="nil"/>
          <w:bottom w:val="nil"/>
          <w:right w:val="nil"/>
          <w:between w:val="nil"/>
        </w:pBdr>
        <w:spacing w:before="240" w:after="0" w:line="240" w:lineRule="auto"/>
        <w:rPr>
          <w:rFonts w:ascii="Times New Roman" w:eastAsia="Times New Roman" w:hAnsi="Times New Roman" w:cs="Times New Roman"/>
          <w:color w:val="000000"/>
        </w:rPr>
      </w:pPr>
      <w:r>
        <w:rPr>
          <w:color w:val="000000"/>
          <w:sz w:val="22"/>
          <w:szCs w:val="22"/>
        </w:rPr>
        <w:t> </w:t>
      </w:r>
    </w:p>
    <w:p w:rsidR="00AD7F1A" w:rsidRDefault="00136824">
      <w:pPr>
        <w:pBdr>
          <w:top w:val="nil"/>
          <w:left w:val="nil"/>
          <w:bottom w:val="nil"/>
          <w:right w:val="nil"/>
          <w:between w:val="nil"/>
        </w:pBdr>
        <w:spacing w:after="0" w:line="240" w:lineRule="auto"/>
        <w:rPr>
          <w:rFonts w:ascii="Times New Roman" w:eastAsia="Times New Roman" w:hAnsi="Times New Roman" w:cs="Times New Roman"/>
          <w:color w:val="000000"/>
        </w:rPr>
      </w:pPr>
      <w:r>
        <w:rPr>
          <w:b/>
          <w:color w:val="000000"/>
          <w:sz w:val="22"/>
          <w:szCs w:val="22"/>
        </w:rPr>
        <w:t xml:space="preserve">Suppliers must only select professional standards and subsequent specialisms where they hold the relevant qualifications. </w:t>
      </w:r>
      <w:r>
        <w:rPr>
          <w:b/>
          <w:i/>
          <w:color w:val="222222"/>
          <w:sz w:val="22"/>
          <w:szCs w:val="22"/>
          <w:highlight w:val="white"/>
        </w:rPr>
        <w:t>In the event suppliers select these options in error, this may result in a supplier missing out on an opportunity, and will be deemed a supplier fault NOT CCS.</w:t>
      </w:r>
    </w:p>
    <w:p w:rsidR="00AD7F1A" w:rsidRDefault="00AD7F1A">
      <w:pPr>
        <w:widowControl w:val="0"/>
        <w:spacing w:after="0" w:line="240" w:lineRule="auto"/>
        <w:rPr>
          <w:sz w:val="22"/>
          <w:szCs w:val="22"/>
        </w:rPr>
      </w:pPr>
    </w:p>
    <w:p w:rsidR="00AD7F1A" w:rsidRDefault="00136824">
      <w:pPr>
        <w:pStyle w:val="Heading1"/>
        <w:numPr>
          <w:ilvl w:val="0"/>
          <w:numId w:val="4"/>
        </w:numPr>
        <w:ind w:left="851" w:hanging="851"/>
        <w:rPr>
          <w:b/>
          <w:color w:val="000000"/>
          <w:sz w:val="24"/>
          <w:szCs w:val="24"/>
        </w:rPr>
      </w:pPr>
      <w:bookmarkStart w:id="11" w:name="_heading=h.eogc0quv1r78" w:colFirst="0" w:colLast="0"/>
      <w:bookmarkEnd w:id="11"/>
      <w:r>
        <w:rPr>
          <w:b/>
          <w:color w:val="000000"/>
          <w:sz w:val="24"/>
          <w:szCs w:val="24"/>
        </w:rPr>
        <w:t xml:space="preserve">Sectors/ Experience: </w:t>
      </w:r>
    </w:p>
    <w:p w:rsidR="00AD7F1A" w:rsidRDefault="00AD7F1A">
      <w:pPr>
        <w:widowControl w:val="0"/>
        <w:spacing w:after="0" w:line="240" w:lineRule="auto"/>
        <w:rPr>
          <w:b/>
          <w:sz w:val="22"/>
          <w:szCs w:val="22"/>
        </w:rPr>
      </w:pPr>
    </w:p>
    <w:tbl>
      <w:tblPr>
        <w:tblStyle w:val="af4"/>
        <w:tblW w:w="4678" w:type="dxa"/>
        <w:tblInd w:w="16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78"/>
      </w:tblGrid>
      <w:tr w:rsidR="00AD7F1A">
        <w:tc>
          <w:tcPr>
            <w:tcW w:w="4678" w:type="dxa"/>
          </w:tcPr>
          <w:p w:rsidR="00AD7F1A" w:rsidRDefault="00136824">
            <w:pPr>
              <w:widowControl w:val="0"/>
              <w:rPr>
                <w:b/>
              </w:rPr>
            </w:pPr>
            <w:r>
              <w:rPr>
                <w:b/>
              </w:rPr>
              <w:t>Experience:</w:t>
            </w:r>
          </w:p>
        </w:tc>
      </w:tr>
      <w:tr w:rsidR="00AD7F1A">
        <w:tc>
          <w:tcPr>
            <w:tcW w:w="4678" w:type="dxa"/>
          </w:tcPr>
          <w:p w:rsidR="00AD7F1A" w:rsidRDefault="00136824">
            <w:pPr>
              <w:widowControl w:val="0"/>
            </w:pPr>
            <w:r>
              <w:t xml:space="preserve">Networks </w:t>
            </w:r>
          </w:p>
        </w:tc>
      </w:tr>
      <w:tr w:rsidR="00AD7F1A">
        <w:tc>
          <w:tcPr>
            <w:tcW w:w="4678" w:type="dxa"/>
          </w:tcPr>
          <w:p w:rsidR="00AD7F1A" w:rsidRDefault="00136824">
            <w:pPr>
              <w:widowControl w:val="0"/>
            </w:pPr>
            <w:r>
              <w:t>Database</w:t>
            </w:r>
          </w:p>
        </w:tc>
      </w:tr>
      <w:tr w:rsidR="00AD7F1A">
        <w:tc>
          <w:tcPr>
            <w:tcW w:w="4678" w:type="dxa"/>
          </w:tcPr>
          <w:p w:rsidR="00AD7F1A" w:rsidRDefault="00136824">
            <w:pPr>
              <w:widowControl w:val="0"/>
            </w:pPr>
            <w:r>
              <w:t>Internet</w:t>
            </w:r>
          </w:p>
        </w:tc>
      </w:tr>
      <w:tr w:rsidR="00AD7F1A">
        <w:tc>
          <w:tcPr>
            <w:tcW w:w="4678" w:type="dxa"/>
          </w:tcPr>
          <w:p w:rsidR="00AD7F1A" w:rsidRDefault="00136824">
            <w:pPr>
              <w:widowControl w:val="0"/>
            </w:pPr>
            <w:r>
              <w:t>Cloud</w:t>
            </w:r>
          </w:p>
        </w:tc>
      </w:tr>
      <w:tr w:rsidR="00AD7F1A">
        <w:tc>
          <w:tcPr>
            <w:tcW w:w="4678" w:type="dxa"/>
          </w:tcPr>
          <w:p w:rsidR="00AD7F1A" w:rsidRDefault="00136824">
            <w:pPr>
              <w:widowControl w:val="0"/>
            </w:pPr>
            <w:r>
              <w:t>Premises</w:t>
            </w:r>
          </w:p>
        </w:tc>
      </w:tr>
      <w:tr w:rsidR="00AD7F1A">
        <w:tc>
          <w:tcPr>
            <w:tcW w:w="4678" w:type="dxa"/>
          </w:tcPr>
          <w:p w:rsidR="00AD7F1A" w:rsidRDefault="00136824">
            <w:pPr>
              <w:widowControl w:val="0"/>
            </w:pPr>
            <w:r>
              <w:t>Endpoint / applications</w:t>
            </w:r>
          </w:p>
        </w:tc>
      </w:tr>
      <w:tr w:rsidR="00AD7F1A">
        <w:tc>
          <w:tcPr>
            <w:tcW w:w="4678" w:type="dxa"/>
          </w:tcPr>
          <w:p w:rsidR="00AD7F1A" w:rsidRDefault="00136824">
            <w:pPr>
              <w:widowControl w:val="0"/>
            </w:pPr>
            <w:r>
              <w:t>GDPR</w:t>
            </w:r>
          </w:p>
        </w:tc>
      </w:tr>
      <w:tr w:rsidR="00AD7F1A">
        <w:tc>
          <w:tcPr>
            <w:tcW w:w="4678" w:type="dxa"/>
          </w:tcPr>
          <w:p w:rsidR="00AD7F1A" w:rsidRDefault="00136824">
            <w:pPr>
              <w:widowControl w:val="0"/>
            </w:pPr>
            <w:r>
              <w:t>Electronic Warfare (EW)</w:t>
            </w:r>
          </w:p>
        </w:tc>
      </w:tr>
      <w:tr w:rsidR="00AD7F1A">
        <w:tc>
          <w:tcPr>
            <w:tcW w:w="4678" w:type="dxa"/>
          </w:tcPr>
          <w:p w:rsidR="00AD7F1A" w:rsidRDefault="00136824">
            <w:pPr>
              <w:widowControl w:val="0"/>
            </w:pPr>
            <w:r>
              <w:t>India</w:t>
            </w:r>
          </w:p>
        </w:tc>
      </w:tr>
      <w:tr w:rsidR="00AD7F1A">
        <w:tc>
          <w:tcPr>
            <w:tcW w:w="4678" w:type="dxa"/>
          </w:tcPr>
          <w:p w:rsidR="00AD7F1A" w:rsidRDefault="00136824">
            <w:pPr>
              <w:widowControl w:val="0"/>
            </w:pPr>
            <w:r>
              <w:t>Indo Pacific</w:t>
            </w:r>
          </w:p>
        </w:tc>
      </w:tr>
      <w:tr w:rsidR="00AD7F1A">
        <w:tc>
          <w:tcPr>
            <w:tcW w:w="4678" w:type="dxa"/>
          </w:tcPr>
          <w:p w:rsidR="00AD7F1A" w:rsidRDefault="00136824">
            <w:pPr>
              <w:widowControl w:val="0"/>
            </w:pPr>
            <w:r>
              <w:t>Africa</w:t>
            </w:r>
          </w:p>
        </w:tc>
      </w:tr>
      <w:tr w:rsidR="00AD7F1A">
        <w:tc>
          <w:tcPr>
            <w:tcW w:w="4678" w:type="dxa"/>
          </w:tcPr>
          <w:p w:rsidR="00AD7F1A" w:rsidRDefault="00136824">
            <w:pPr>
              <w:widowControl w:val="0"/>
            </w:pPr>
            <w:r>
              <w:t>Middle East/ North Africa (MENA)</w:t>
            </w:r>
          </w:p>
        </w:tc>
      </w:tr>
      <w:tr w:rsidR="00AD7F1A">
        <w:tc>
          <w:tcPr>
            <w:tcW w:w="4678" w:type="dxa"/>
          </w:tcPr>
          <w:p w:rsidR="00AD7F1A" w:rsidRDefault="00136824">
            <w:pPr>
              <w:widowControl w:val="0"/>
            </w:pPr>
            <w:r>
              <w:t>Cyber Capability Building</w:t>
            </w:r>
          </w:p>
        </w:tc>
      </w:tr>
      <w:tr w:rsidR="00AD7F1A">
        <w:tc>
          <w:tcPr>
            <w:tcW w:w="4678" w:type="dxa"/>
          </w:tcPr>
          <w:p w:rsidR="00AD7F1A" w:rsidRDefault="00136824">
            <w:pPr>
              <w:widowControl w:val="0"/>
            </w:pPr>
            <w:r>
              <w:lastRenderedPageBreak/>
              <w:t>Other</w:t>
            </w:r>
          </w:p>
        </w:tc>
      </w:tr>
      <w:tr w:rsidR="00AD7F1A">
        <w:tc>
          <w:tcPr>
            <w:tcW w:w="4678" w:type="dxa"/>
          </w:tcPr>
          <w:p w:rsidR="00AD7F1A" w:rsidRDefault="00136824">
            <w:pPr>
              <w:widowControl w:val="0"/>
              <w:rPr>
                <w:b/>
              </w:rPr>
            </w:pPr>
            <w:r>
              <w:rPr>
                <w:b/>
              </w:rPr>
              <w:t xml:space="preserve">Sector: </w:t>
            </w:r>
          </w:p>
        </w:tc>
      </w:tr>
      <w:tr w:rsidR="00AD7F1A">
        <w:tc>
          <w:tcPr>
            <w:tcW w:w="4678" w:type="dxa"/>
          </w:tcPr>
          <w:p w:rsidR="00AD7F1A" w:rsidRDefault="00136824">
            <w:pPr>
              <w:widowControl w:val="0"/>
            </w:pPr>
            <w:r>
              <w:t>Chemicals</w:t>
            </w:r>
          </w:p>
        </w:tc>
      </w:tr>
      <w:tr w:rsidR="00AD7F1A">
        <w:tc>
          <w:tcPr>
            <w:tcW w:w="4678" w:type="dxa"/>
          </w:tcPr>
          <w:p w:rsidR="00AD7F1A" w:rsidRDefault="00136824">
            <w:pPr>
              <w:widowControl w:val="0"/>
            </w:pPr>
            <w:r>
              <w:t>Civil Nuclear Communications</w:t>
            </w:r>
          </w:p>
        </w:tc>
      </w:tr>
      <w:tr w:rsidR="00AD7F1A">
        <w:tc>
          <w:tcPr>
            <w:tcW w:w="4678" w:type="dxa"/>
          </w:tcPr>
          <w:p w:rsidR="00AD7F1A" w:rsidRDefault="00136824">
            <w:pPr>
              <w:widowControl w:val="0"/>
            </w:pPr>
            <w:r>
              <w:t>Defence</w:t>
            </w:r>
          </w:p>
        </w:tc>
      </w:tr>
      <w:tr w:rsidR="00AD7F1A">
        <w:tc>
          <w:tcPr>
            <w:tcW w:w="4678" w:type="dxa"/>
          </w:tcPr>
          <w:p w:rsidR="00AD7F1A" w:rsidRDefault="00136824">
            <w:pPr>
              <w:widowControl w:val="0"/>
            </w:pPr>
            <w:r>
              <w:t>Energy</w:t>
            </w:r>
          </w:p>
        </w:tc>
      </w:tr>
      <w:tr w:rsidR="00AD7F1A">
        <w:tc>
          <w:tcPr>
            <w:tcW w:w="4678" w:type="dxa"/>
          </w:tcPr>
          <w:p w:rsidR="00AD7F1A" w:rsidRDefault="00136824">
            <w:pPr>
              <w:widowControl w:val="0"/>
            </w:pPr>
            <w:r>
              <w:t>Finance</w:t>
            </w:r>
          </w:p>
        </w:tc>
      </w:tr>
      <w:tr w:rsidR="00AD7F1A">
        <w:tc>
          <w:tcPr>
            <w:tcW w:w="4678" w:type="dxa"/>
          </w:tcPr>
          <w:p w:rsidR="00AD7F1A" w:rsidRDefault="00136824">
            <w:pPr>
              <w:widowControl w:val="0"/>
            </w:pPr>
            <w:r>
              <w:t>Food</w:t>
            </w:r>
          </w:p>
        </w:tc>
      </w:tr>
      <w:tr w:rsidR="00AD7F1A">
        <w:tc>
          <w:tcPr>
            <w:tcW w:w="4678" w:type="dxa"/>
          </w:tcPr>
          <w:p w:rsidR="00AD7F1A" w:rsidRDefault="00136824">
            <w:pPr>
              <w:widowControl w:val="0"/>
            </w:pPr>
            <w:r>
              <w:t>Government</w:t>
            </w:r>
          </w:p>
        </w:tc>
      </w:tr>
      <w:tr w:rsidR="00AD7F1A">
        <w:tc>
          <w:tcPr>
            <w:tcW w:w="4678" w:type="dxa"/>
          </w:tcPr>
          <w:p w:rsidR="00AD7F1A" w:rsidRDefault="00136824">
            <w:pPr>
              <w:widowControl w:val="0"/>
            </w:pPr>
            <w:r>
              <w:t>Health</w:t>
            </w:r>
          </w:p>
        </w:tc>
      </w:tr>
      <w:tr w:rsidR="00AD7F1A">
        <w:tc>
          <w:tcPr>
            <w:tcW w:w="4678" w:type="dxa"/>
          </w:tcPr>
          <w:p w:rsidR="00AD7F1A" w:rsidRDefault="00136824">
            <w:pPr>
              <w:widowControl w:val="0"/>
            </w:pPr>
            <w:r>
              <w:t>Space</w:t>
            </w:r>
          </w:p>
        </w:tc>
      </w:tr>
      <w:tr w:rsidR="00AD7F1A">
        <w:tc>
          <w:tcPr>
            <w:tcW w:w="4678" w:type="dxa"/>
          </w:tcPr>
          <w:p w:rsidR="00AD7F1A" w:rsidRDefault="00136824">
            <w:pPr>
              <w:widowControl w:val="0"/>
            </w:pPr>
            <w:r>
              <w:t>Transport</w:t>
            </w:r>
          </w:p>
        </w:tc>
      </w:tr>
      <w:tr w:rsidR="00AD7F1A">
        <w:tc>
          <w:tcPr>
            <w:tcW w:w="4678" w:type="dxa"/>
          </w:tcPr>
          <w:p w:rsidR="00AD7F1A" w:rsidRDefault="00136824">
            <w:pPr>
              <w:widowControl w:val="0"/>
            </w:pPr>
            <w:r>
              <w:t>Water</w:t>
            </w:r>
          </w:p>
        </w:tc>
      </w:tr>
      <w:tr w:rsidR="00AD7F1A">
        <w:tc>
          <w:tcPr>
            <w:tcW w:w="4678" w:type="dxa"/>
            <w:tcBorders>
              <w:bottom w:val="single" w:sz="4" w:space="0" w:color="000000"/>
            </w:tcBorders>
          </w:tcPr>
          <w:p w:rsidR="00AD7F1A" w:rsidRDefault="00136824">
            <w:pPr>
              <w:widowControl w:val="0"/>
            </w:pPr>
            <w:r>
              <w:t>Critical National Infrastructure</w:t>
            </w:r>
          </w:p>
        </w:tc>
      </w:tr>
      <w:tr w:rsidR="00AD7F1A">
        <w:tc>
          <w:tcPr>
            <w:tcW w:w="4678" w:type="dxa"/>
            <w:tcBorders>
              <w:bottom w:val="single" w:sz="4" w:space="0" w:color="000000"/>
            </w:tcBorders>
          </w:tcPr>
          <w:p w:rsidR="00AD7F1A" w:rsidRDefault="00136824">
            <w:pPr>
              <w:widowControl w:val="0"/>
            </w:pPr>
            <w:r>
              <w:t>Other</w:t>
            </w:r>
          </w:p>
        </w:tc>
      </w:tr>
      <w:tr w:rsidR="00AD7F1A">
        <w:tc>
          <w:tcPr>
            <w:tcW w:w="4678" w:type="dxa"/>
            <w:tcBorders>
              <w:top w:val="single" w:sz="4" w:space="0" w:color="000000"/>
              <w:left w:val="single" w:sz="4" w:space="0" w:color="000000"/>
              <w:bottom w:val="single" w:sz="4" w:space="0" w:color="000000"/>
              <w:right w:val="single" w:sz="4" w:space="0" w:color="000000"/>
            </w:tcBorders>
          </w:tcPr>
          <w:p w:rsidR="00AD7F1A" w:rsidRDefault="00136824">
            <w:pPr>
              <w:widowControl w:val="0"/>
              <w:rPr>
                <w:b/>
              </w:rPr>
            </w:pPr>
            <w:r>
              <w:rPr>
                <w:b/>
              </w:rPr>
              <w:t>CNI Emergency Services:</w:t>
            </w:r>
          </w:p>
          <w:p w:rsidR="00AD7F1A" w:rsidRDefault="00136824">
            <w:pPr>
              <w:widowControl w:val="0"/>
              <w:pBdr>
                <w:top w:val="single" w:sz="4" w:space="1" w:color="000000"/>
                <w:left w:val="single" w:sz="4" w:space="4" w:color="000000"/>
                <w:bottom w:val="single" w:sz="4" w:space="1" w:color="000000"/>
                <w:right w:val="single" w:sz="4" w:space="4" w:color="000000"/>
                <w:between w:val="single" w:sz="4" w:space="1" w:color="000000"/>
              </w:pBdr>
            </w:pPr>
            <w:r>
              <w:t>Police</w:t>
            </w:r>
          </w:p>
          <w:p w:rsidR="00AD7F1A" w:rsidRDefault="00136824">
            <w:pPr>
              <w:widowControl w:val="0"/>
              <w:pBdr>
                <w:top w:val="single" w:sz="4" w:space="1" w:color="000000"/>
                <w:left w:val="single" w:sz="4" w:space="4" w:color="000000"/>
                <w:bottom w:val="single" w:sz="4" w:space="1" w:color="000000"/>
                <w:right w:val="single" w:sz="4" w:space="4" w:color="000000"/>
                <w:between w:val="single" w:sz="4" w:space="1" w:color="000000"/>
              </w:pBdr>
            </w:pPr>
            <w:r>
              <w:t>Ambulance</w:t>
            </w:r>
          </w:p>
          <w:p w:rsidR="00AD7F1A" w:rsidRDefault="00136824">
            <w:pPr>
              <w:widowControl w:val="0"/>
              <w:pBdr>
                <w:top w:val="single" w:sz="4" w:space="1" w:color="000000"/>
                <w:left w:val="single" w:sz="4" w:space="4" w:color="000000"/>
                <w:bottom w:val="single" w:sz="4" w:space="1" w:color="000000"/>
                <w:right w:val="single" w:sz="4" w:space="4" w:color="000000"/>
                <w:between w:val="single" w:sz="4" w:space="1" w:color="000000"/>
              </w:pBdr>
            </w:pPr>
            <w:r>
              <w:t>Fire Services</w:t>
            </w:r>
          </w:p>
          <w:p w:rsidR="00AD7F1A" w:rsidRDefault="00136824">
            <w:pPr>
              <w:widowControl w:val="0"/>
              <w:pBdr>
                <w:top w:val="single" w:sz="4" w:space="1" w:color="000000"/>
                <w:left w:val="single" w:sz="4" w:space="4" w:color="000000"/>
                <w:bottom w:val="single" w:sz="4" w:space="1" w:color="000000"/>
                <w:right w:val="single" w:sz="4" w:space="4" w:color="000000"/>
                <w:between w:val="single" w:sz="4" w:space="1" w:color="000000"/>
              </w:pBdr>
            </w:pPr>
            <w:r>
              <w:t>Coast guard</w:t>
            </w:r>
          </w:p>
        </w:tc>
      </w:tr>
      <w:tr w:rsidR="00AD7F1A">
        <w:tc>
          <w:tcPr>
            <w:tcW w:w="4678" w:type="dxa"/>
            <w:tcBorders>
              <w:top w:val="single" w:sz="4" w:space="0" w:color="000000"/>
              <w:left w:val="single" w:sz="4" w:space="0" w:color="000000"/>
              <w:bottom w:val="single" w:sz="4" w:space="0" w:color="000000"/>
              <w:right w:val="single" w:sz="4" w:space="0" w:color="000000"/>
            </w:tcBorders>
          </w:tcPr>
          <w:p w:rsidR="00AD7F1A" w:rsidRDefault="00136824">
            <w:pPr>
              <w:widowControl w:val="0"/>
            </w:pPr>
            <w:r>
              <w:t>Other</w:t>
            </w:r>
          </w:p>
        </w:tc>
      </w:tr>
    </w:tbl>
    <w:p w:rsidR="00AD7F1A" w:rsidRDefault="00AD7F1A">
      <w:pPr>
        <w:widowControl w:val="0"/>
        <w:spacing w:after="0" w:line="240" w:lineRule="auto"/>
        <w:rPr>
          <w:b/>
          <w:sz w:val="22"/>
          <w:szCs w:val="22"/>
        </w:rPr>
      </w:pPr>
    </w:p>
    <w:p w:rsidR="00AD7F1A" w:rsidRDefault="00AD7F1A">
      <w:pPr>
        <w:widowControl w:val="0"/>
        <w:spacing w:after="0" w:line="240" w:lineRule="auto"/>
        <w:rPr>
          <w:b/>
          <w:sz w:val="22"/>
          <w:szCs w:val="22"/>
        </w:rPr>
      </w:pPr>
    </w:p>
    <w:p w:rsidR="00AD7F1A" w:rsidRDefault="00AD7F1A">
      <w:pPr>
        <w:widowControl w:val="0"/>
        <w:spacing w:after="0" w:line="240" w:lineRule="auto"/>
        <w:rPr>
          <w:b/>
          <w:sz w:val="22"/>
          <w:szCs w:val="22"/>
        </w:rPr>
      </w:pPr>
    </w:p>
    <w:p w:rsidR="00AD7F1A" w:rsidRDefault="00AD7F1A">
      <w:pPr>
        <w:widowControl w:val="0"/>
        <w:spacing w:after="0" w:line="240" w:lineRule="auto"/>
        <w:rPr>
          <w:b/>
          <w:sz w:val="22"/>
          <w:szCs w:val="22"/>
        </w:rPr>
      </w:pPr>
    </w:p>
    <w:p w:rsidR="00AD7F1A" w:rsidRDefault="00136824">
      <w:pPr>
        <w:pStyle w:val="Heading1"/>
        <w:numPr>
          <w:ilvl w:val="0"/>
          <w:numId w:val="4"/>
        </w:numPr>
        <w:ind w:left="851" w:hanging="851"/>
        <w:rPr>
          <w:b/>
          <w:color w:val="000000"/>
          <w:sz w:val="24"/>
          <w:szCs w:val="24"/>
        </w:rPr>
      </w:pPr>
      <w:bookmarkStart w:id="12" w:name="_heading=h.gyx9xknakndk" w:colFirst="0" w:colLast="0"/>
      <w:bookmarkEnd w:id="12"/>
      <w:r>
        <w:rPr>
          <w:b/>
          <w:color w:val="000000"/>
          <w:sz w:val="24"/>
          <w:szCs w:val="24"/>
        </w:rPr>
        <w:t>What is outside of the scope of the DPS Contract?</w:t>
      </w:r>
    </w:p>
    <w:p w:rsidR="00AD7F1A" w:rsidRDefault="00136824">
      <w:pPr>
        <w:widowControl w:val="0"/>
        <w:spacing w:before="120" w:after="120" w:line="240" w:lineRule="auto"/>
        <w:jc w:val="both"/>
      </w:pPr>
      <w:r>
        <w:t>Products and services out of scope of this DPS include but are not limited to:</w:t>
      </w:r>
    </w:p>
    <w:p w:rsidR="00AD7F1A" w:rsidRDefault="00136824">
      <w:pPr>
        <w:widowControl w:val="0"/>
        <w:numPr>
          <w:ilvl w:val="0"/>
          <w:numId w:val="14"/>
        </w:numPr>
        <w:spacing w:before="120" w:after="120" w:line="240" w:lineRule="auto"/>
        <w:ind w:left="851" w:hanging="851"/>
        <w:jc w:val="both"/>
      </w:pPr>
      <w:r>
        <w:t>Any/all hardware &amp; infrastructure NOT specifically required to deliver the Cyber Security Services in Filter Categories covered by this Contract.</w:t>
      </w:r>
    </w:p>
    <w:p w:rsidR="00AD7F1A" w:rsidRDefault="00136824">
      <w:pPr>
        <w:widowControl w:val="0"/>
        <w:numPr>
          <w:ilvl w:val="0"/>
          <w:numId w:val="14"/>
        </w:numPr>
        <w:spacing w:before="120" w:after="120" w:line="240" w:lineRule="auto"/>
        <w:ind w:left="851" w:hanging="851"/>
        <w:jc w:val="both"/>
      </w:pPr>
      <w:r>
        <w:t>Hosting</w:t>
      </w:r>
    </w:p>
    <w:p w:rsidR="00AD7F1A" w:rsidRDefault="00136824">
      <w:pPr>
        <w:widowControl w:val="0"/>
        <w:numPr>
          <w:ilvl w:val="0"/>
          <w:numId w:val="14"/>
        </w:numPr>
        <w:spacing w:before="120" w:after="120" w:line="240" w:lineRule="auto"/>
        <w:ind w:left="851" w:hanging="851"/>
        <w:jc w:val="both"/>
      </w:pPr>
      <w:r>
        <w:t xml:space="preserve">Software or software licensing NOT specifically required to deliver the Cyber Security Services in service categories  </w:t>
      </w:r>
    </w:p>
    <w:p w:rsidR="00AD7F1A" w:rsidRDefault="00136824">
      <w:pPr>
        <w:widowControl w:val="0"/>
        <w:numPr>
          <w:ilvl w:val="0"/>
          <w:numId w:val="14"/>
        </w:numPr>
        <w:spacing w:before="120" w:after="120" w:line="240" w:lineRule="auto"/>
        <w:ind w:left="851" w:hanging="851"/>
        <w:jc w:val="both"/>
      </w:pPr>
      <w:r>
        <w:t>Networks or connectivity services.</w:t>
      </w:r>
    </w:p>
    <w:p w:rsidR="00AD7F1A" w:rsidRDefault="00136824">
      <w:pPr>
        <w:pStyle w:val="Heading1"/>
        <w:numPr>
          <w:ilvl w:val="0"/>
          <w:numId w:val="17"/>
        </w:numPr>
        <w:ind w:left="851" w:hanging="851"/>
        <w:rPr>
          <w:b/>
        </w:rPr>
      </w:pPr>
      <w:bookmarkStart w:id="13" w:name="_heading=h.3laajiy6lgtm" w:colFirst="0" w:colLast="0"/>
      <w:bookmarkEnd w:id="13"/>
      <w:r>
        <w:rPr>
          <w:b/>
          <w:color w:val="000000"/>
        </w:rPr>
        <w:t>Mandatory Requirements:</w:t>
      </w:r>
    </w:p>
    <w:p w:rsidR="00AD7F1A" w:rsidRDefault="00AD7F1A">
      <w:pPr>
        <w:rPr>
          <w:b/>
          <w:sz w:val="22"/>
          <w:szCs w:val="22"/>
        </w:rPr>
      </w:pPr>
    </w:p>
    <w:p w:rsidR="00AD7F1A" w:rsidRDefault="00136824">
      <w:pPr>
        <w:numPr>
          <w:ilvl w:val="0"/>
          <w:numId w:val="5"/>
        </w:numPr>
        <w:pBdr>
          <w:top w:val="nil"/>
          <w:left w:val="nil"/>
          <w:bottom w:val="nil"/>
          <w:right w:val="nil"/>
          <w:between w:val="nil"/>
        </w:pBdr>
        <w:ind w:left="851" w:hanging="851"/>
        <w:rPr>
          <w:b/>
          <w:color w:val="000000"/>
        </w:rPr>
      </w:pPr>
      <w:r>
        <w:rPr>
          <w:b/>
          <w:color w:val="000000"/>
        </w:rPr>
        <w:t>Quality Standards</w:t>
      </w:r>
    </w:p>
    <w:p w:rsidR="00AD7F1A" w:rsidRDefault="00136824">
      <w:pPr>
        <w:spacing w:before="120" w:after="120" w:line="240" w:lineRule="auto"/>
        <w:jc w:val="both"/>
      </w:pPr>
      <w:r>
        <w:t xml:space="preserve">Suppliers shall use a documented quality management system, as part of delivering services under this DPS. The Supplier may be required by a Buyer to comply with specific quality standards set by industry bodies or Government codes of practice.   </w:t>
      </w:r>
    </w:p>
    <w:p w:rsidR="00AD7F1A" w:rsidRDefault="00136824">
      <w:pPr>
        <w:numPr>
          <w:ilvl w:val="0"/>
          <w:numId w:val="5"/>
        </w:numPr>
        <w:pBdr>
          <w:top w:val="nil"/>
          <w:left w:val="nil"/>
          <w:bottom w:val="nil"/>
          <w:right w:val="nil"/>
          <w:between w:val="nil"/>
        </w:pBdr>
        <w:ind w:left="851" w:hanging="851"/>
        <w:rPr>
          <w:b/>
          <w:color w:val="000000"/>
        </w:rPr>
      </w:pPr>
      <w:r>
        <w:rPr>
          <w:b/>
          <w:color w:val="000000"/>
        </w:rPr>
        <w:lastRenderedPageBreak/>
        <w:t>Security Requirements</w:t>
      </w:r>
    </w:p>
    <w:p w:rsidR="00AD7F1A" w:rsidRDefault="00136824">
      <w:pPr>
        <w:spacing w:before="120" w:after="120" w:line="240" w:lineRule="auto"/>
        <w:jc w:val="both"/>
      </w:pPr>
      <w:r>
        <w:t xml:space="preserve">The Supplier shall at all times during the DPS Contract Period and during the term of any Order Contract comply with the Buyer’s contracted security requirements. The Supplier will ensure controls and measures are in place to protect data handled, processed or stored as part of delivering the Services in accordance with Clause 14 of the Core Terms.   </w:t>
      </w:r>
    </w:p>
    <w:p w:rsidR="00AD7F1A" w:rsidRDefault="00136824">
      <w:pPr>
        <w:spacing w:before="120" w:after="120" w:line="240" w:lineRule="auto"/>
        <w:jc w:val="both"/>
      </w:pPr>
      <w:r>
        <w:t xml:space="preserve">The Supplier shall comply with the applicable requirements set out in the Cabinet Office’s Security Policy Framework. Information about the framework can be found at: </w:t>
      </w:r>
      <w:hyperlink r:id="rId19">
        <w:r>
          <w:rPr>
            <w:color w:val="1155CC"/>
            <w:u w:val="single"/>
          </w:rPr>
          <w:t>https://www.gov.uk/government/publications/security-policy-framework</w:t>
        </w:r>
      </w:hyperlink>
      <w:r>
        <w:t xml:space="preserve">  </w:t>
      </w:r>
    </w:p>
    <w:p w:rsidR="00AD7F1A" w:rsidRDefault="00136824">
      <w:pPr>
        <w:spacing w:before="120" w:after="120" w:line="240" w:lineRule="auto"/>
        <w:jc w:val="both"/>
      </w:pPr>
      <w:r>
        <w:t>The Supplier shall ensure that staff has security clearance to a minimum level: Baseline Personnel Security standard (BPSS). Should a Buyer require a higher level of security clearance this will be made clear in the Order Procedure.</w:t>
      </w:r>
    </w:p>
    <w:p w:rsidR="00AD7F1A" w:rsidRDefault="00136824">
      <w:pPr>
        <w:numPr>
          <w:ilvl w:val="0"/>
          <w:numId w:val="5"/>
        </w:numPr>
        <w:pBdr>
          <w:top w:val="nil"/>
          <w:left w:val="nil"/>
          <w:bottom w:val="nil"/>
          <w:right w:val="nil"/>
          <w:between w:val="nil"/>
        </w:pBdr>
        <w:ind w:left="851" w:hanging="851"/>
        <w:rPr>
          <w:b/>
          <w:color w:val="000000"/>
        </w:rPr>
      </w:pPr>
      <w:r>
        <w:rPr>
          <w:b/>
          <w:color w:val="000000"/>
        </w:rPr>
        <w:t>Environmental Standards</w:t>
      </w:r>
    </w:p>
    <w:p w:rsidR="00AD7F1A" w:rsidRDefault="00136824">
      <w:pPr>
        <w:spacing w:before="120" w:after="120" w:line="240" w:lineRule="auto"/>
        <w:jc w:val="both"/>
      </w:pPr>
      <w:r>
        <w:t>Where applicable, the Supplier shall ensure that all Electric and Electronic Equipment (EEE) used or disposed of as part of delivery of the Services, complies with Restriction of Hazardous Substances (</w:t>
      </w:r>
      <w:proofErr w:type="spellStart"/>
      <w:r>
        <w:t>RoHs</w:t>
      </w:r>
      <w:proofErr w:type="spellEnd"/>
      <w:r>
        <w:t xml:space="preserve">), WEEE regulations, or equivalent. Full details can be found via the following links: </w:t>
      </w:r>
      <w:hyperlink r:id="rId20">
        <w:r>
          <w:rPr>
            <w:color w:val="1155CC"/>
            <w:u w:val="single"/>
          </w:rPr>
          <w:t>http://www.hse.gov.uk/waste/waste-electrical.htm</w:t>
        </w:r>
      </w:hyperlink>
    </w:p>
    <w:p w:rsidR="00AD7F1A" w:rsidRDefault="00136824">
      <w:pPr>
        <w:numPr>
          <w:ilvl w:val="0"/>
          <w:numId w:val="5"/>
        </w:numPr>
        <w:pBdr>
          <w:top w:val="nil"/>
          <w:left w:val="nil"/>
          <w:bottom w:val="nil"/>
          <w:right w:val="nil"/>
          <w:between w:val="nil"/>
        </w:pBdr>
        <w:ind w:left="851" w:hanging="851"/>
        <w:rPr>
          <w:b/>
          <w:color w:val="000000"/>
        </w:rPr>
      </w:pPr>
      <w:r>
        <w:rPr>
          <w:b/>
          <w:color w:val="000000"/>
        </w:rPr>
        <w:t>Complying with future government requirements and standards</w:t>
      </w:r>
    </w:p>
    <w:p w:rsidR="00AD7F1A" w:rsidRDefault="00136824">
      <w:pPr>
        <w:spacing w:before="120" w:after="120" w:line="240" w:lineRule="auto"/>
      </w:pPr>
      <w:r>
        <w:t>The Supplier shall comply with relevant future Government requirements and standards in accordance with any Government guidance issued during the DPS Contract Period and as developed and updated, from time to time.</w:t>
      </w:r>
    </w:p>
    <w:p w:rsidR="00AD7F1A" w:rsidRDefault="00AD7F1A">
      <w:pPr>
        <w:spacing w:before="120" w:after="120" w:line="240" w:lineRule="auto"/>
      </w:pPr>
    </w:p>
    <w:p w:rsidR="00AD7F1A" w:rsidRDefault="00AD7F1A">
      <w:pPr>
        <w:spacing w:before="120" w:after="120" w:line="240" w:lineRule="auto"/>
      </w:pPr>
    </w:p>
    <w:p w:rsidR="00AD7F1A" w:rsidRDefault="00136824">
      <w:pPr>
        <w:numPr>
          <w:ilvl w:val="0"/>
          <w:numId w:val="5"/>
        </w:numPr>
        <w:pBdr>
          <w:top w:val="nil"/>
          <w:left w:val="nil"/>
          <w:bottom w:val="nil"/>
          <w:right w:val="nil"/>
          <w:between w:val="nil"/>
        </w:pBdr>
        <w:ind w:left="851" w:hanging="851"/>
        <w:rPr>
          <w:b/>
          <w:color w:val="000000"/>
        </w:rPr>
      </w:pPr>
      <w:r>
        <w:rPr>
          <w:b/>
          <w:color w:val="000000"/>
        </w:rPr>
        <w:t>Staff and Contractors</w:t>
      </w:r>
    </w:p>
    <w:p w:rsidR="00AD7F1A" w:rsidRDefault="00136824">
      <w:pPr>
        <w:spacing w:before="120" w:after="120" w:line="240" w:lineRule="auto"/>
        <w:jc w:val="both"/>
      </w:pPr>
      <w:r>
        <w:t>Where appropriate the Supplier shall ensure that appropriate roles and grades of staff will be assigned to the Services in accordance with NCSC - defined experience levels, Skills Framework for the Information Age (SFIA), or other equivalent grading structures used by the cyber security industry for personnel providing the Services offered under this DPS.</w:t>
      </w:r>
    </w:p>
    <w:p w:rsidR="00AD7F1A" w:rsidRDefault="00AD7F1A">
      <w:pPr>
        <w:pBdr>
          <w:top w:val="nil"/>
          <w:left w:val="nil"/>
          <w:bottom w:val="nil"/>
          <w:right w:val="nil"/>
          <w:between w:val="nil"/>
        </w:pBdr>
        <w:spacing w:after="0"/>
        <w:ind w:left="851"/>
        <w:rPr>
          <w:b/>
          <w:color w:val="000000"/>
        </w:rPr>
      </w:pPr>
    </w:p>
    <w:p w:rsidR="00AD7F1A" w:rsidRDefault="00AD7F1A">
      <w:pPr>
        <w:pBdr>
          <w:top w:val="nil"/>
          <w:left w:val="nil"/>
          <w:bottom w:val="nil"/>
          <w:right w:val="nil"/>
          <w:between w:val="nil"/>
        </w:pBdr>
        <w:spacing w:after="0"/>
        <w:ind w:left="851"/>
        <w:rPr>
          <w:b/>
          <w:color w:val="000000"/>
        </w:rPr>
      </w:pPr>
    </w:p>
    <w:p w:rsidR="00AD7F1A" w:rsidRDefault="00AD7F1A">
      <w:pPr>
        <w:pBdr>
          <w:top w:val="nil"/>
          <w:left w:val="nil"/>
          <w:bottom w:val="nil"/>
          <w:right w:val="nil"/>
          <w:between w:val="nil"/>
        </w:pBdr>
        <w:spacing w:after="0"/>
        <w:ind w:left="851"/>
        <w:rPr>
          <w:b/>
          <w:color w:val="000000"/>
        </w:rPr>
      </w:pPr>
    </w:p>
    <w:p w:rsidR="00AD7F1A" w:rsidRDefault="00136824">
      <w:pPr>
        <w:numPr>
          <w:ilvl w:val="0"/>
          <w:numId w:val="5"/>
        </w:numPr>
        <w:pBdr>
          <w:top w:val="nil"/>
          <w:left w:val="nil"/>
          <w:bottom w:val="nil"/>
          <w:right w:val="nil"/>
          <w:between w:val="nil"/>
        </w:pBdr>
        <w:ind w:left="851" w:hanging="851"/>
        <w:rPr>
          <w:b/>
          <w:color w:val="000000"/>
        </w:rPr>
      </w:pPr>
      <w:r>
        <w:rPr>
          <w:b/>
          <w:color w:val="000000"/>
        </w:rPr>
        <w:t>Social Value</w:t>
      </w:r>
    </w:p>
    <w:p w:rsidR="00AD7F1A" w:rsidRDefault="00136824">
      <w:pPr>
        <w:spacing w:before="120" w:after="120" w:line="240" w:lineRule="auto"/>
        <w:jc w:val="both"/>
      </w:pPr>
      <w:r>
        <w:t>The Supplier shall identify Social Value options which are appropriate to Buyers at Order Contract award stage in accordance with the Buyer’s requirements communicated as part of their Order Procedure.</w:t>
      </w:r>
    </w:p>
    <w:p w:rsidR="00AD7F1A" w:rsidRDefault="00136824">
      <w:pPr>
        <w:spacing w:before="120" w:after="120" w:line="240" w:lineRule="auto"/>
        <w:jc w:val="both"/>
      </w:pPr>
      <w:r>
        <w:t xml:space="preserve">The Supplier shall complete annual Corporate Social Responsibility (CSR) assessments upon request from Buyers where specified as part of their Order Contract Obligations. </w:t>
      </w:r>
    </w:p>
    <w:p w:rsidR="00AD7F1A" w:rsidRDefault="00136824">
      <w:pPr>
        <w:spacing w:before="120" w:after="120" w:line="240" w:lineRule="auto"/>
        <w:jc w:val="both"/>
      </w:pPr>
      <w:proofErr w:type="gramStart"/>
      <w:r>
        <w:t>For  more</w:t>
      </w:r>
      <w:proofErr w:type="gramEnd"/>
      <w:r>
        <w:t xml:space="preserve">  information  on  Social  Value  please  see  the  following  link: </w:t>
      </w:r>
    </w:p>
    <w:p w:rsidR="00AD7F1A" w:rsidRDefault="00E46AAB">
      <w:pPr>
        <w:spacing w:before="120" w:after="120" w:line="240" w:lineRule="auto"/>
        <w:jc w:val="both"/>
      </w:pPr>
      <w:hyperlink r:id="rId21">
        <w:r w:rsidR="00136824">
          <w:rPr>
            <w:color w:val="1155CC"/>
            <w:u w:val="single"/>
          </w:rPr>
          <w:t>https://www.gov.uk/government/publications/social-value-act-introductory-guide</w:t>
        </w:r>
      </w:hyperlink>
    </w:p>
    <w:p w:rsidR="00AD7F1A" w:rsidRDefault="00AD7F1A">
      <w:pPr>
        <w:spacing w:after="0" w:line="276" w:lineRule="auto"/>
        <w:rPr>
          <w:b/>
          <w:sz w:val="22"/>
          <w:szCs w:val="22"/>
        </w:rPr>
      </w:pPr>
    </w:p>
    <w:p w:rsidR="00AD7F1A" w:rsidRDefault="00AD7F1A">
      <w:pPr>
        <w:spacing w:after="0" w:line="276" w:lineRule="auto"/>
        <w:rPr>
          <w:b/>
          <w:sz w:val="22"/>
          <w:szCs w:val="22"/>
        </w:rPr>
      </w:pPr>
    </w:p>
    <w:sectPr w:rsidR="00AD7F1A">
      <w:headerReference w:type="even" r:id="rId22"/>
      <w:headerReference w:type="default" r:id="rId23"/>
      <w:footerReference w:type="even" r:id="rId24"/>
      <w:footerReference w:type="default" r:id="rId25"/>
      <w:headerReference w:type="first" r:id="rId26"/>
      <w:footerReference w:type="first" r:id="rId27"/>
      <w:pgSz w:w="12240" w:h="1584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46AAB" w:rsidRDefault="00E46AAB">
      <w:pPr>
        <w:spacing w:after="0" w:line="240" w:lineRule="auto"/>
      </w:pPr>
      <w:r>
        <w:separator/>
      </w:r>
    </w:p>
  </w:endnote>
  <w:endnote w:type="continuationSeparator" w:id="0">
    <w:p w:rsidR="00E46AAB" w:rsidRDefault="00E46A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7F1A" w:rsidRDefault="00AD7F1A">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7F1A" w:rsidRDefault="00136824">
    <w:pPr>
      <w:pBdr>
        <w:top w:val="nil"/>
        <w:left w:val="nil"/>
        <w:bottom w:val="nil"/>
        <w:right w:val="nil"/>
        <w:between w:val="nil"/>
      </w:pBdr>
      <w:tabs>
        <w:tab w:val="center" w:pos="4513"/>
        <w:tab w:val="right" w:pos="9026"/>
      </w:tabs>
      <w:spacing w:after="0" w:line="240" w:lineRule="auto"/>
      <w:jc w:val="right"/>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CA63F8">
      <w:rPr>
        <w:noProof/>
        <w:color w:val="000000"/>
        <w:sz w:val="18"/>
        <w:szCs w:val="18"/>
      </w:rPr>
      <w:t>1</w:t>
    </w:r>
    <w:r>
      <w:rPr>
        <w:color w:val="000000"/>
        <w:sz w:val="18"/>
        <w:szCs w:val="18"/>
      </w:rPr>
      <w:fldChar w:fldCharType="end"/>
    </w:r>
  </w:p>
  <w:p w:rsidR="00AD7F1A" w:rsidRDefault="00136824">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 xml:space="preserve">RM3764iii – Cyber Services 3 DPS </w:t>
    </w:r>
  </w:p>
  <w:p w:rsidR="00AD7F1A" w:rsidRDefault="00136824">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Bid Pack – Buyer Needs</w:t>
    </w:r>
  </w:p>
  <w:p w:rsidR="00AD7F1A" w:rsidRDefault="00136824">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V</w:t>
    </w:r>
    <w:r>
      <w:rPr>
        <w:sz w:val="16"/>
        <w:szCs w:val="16"/>
      </w:rPr>
      <w:t>10</w:t>
    </w:r>
    <w:r>
      <w:rPr>
        <w:color w:val="000000"/>
        <w:sz w:val="16"/>
        <w:szCs w:val="16"/>
      </w:rPr>
      <w:t>.0</w:t>
    </w:r>
  </w:p>
  <w:p w:rsidR="00AD7F1A" w:rsidRDefault="00136824">
    <w:pPr>
      <w:pBdr>
        <w:top w:val="nil"/>
        <w:left w:val="nil"/>
        <w:bottom w:val="nil"/>
        <w:right w:val="nil"/>
        <w:between w:val="nil"/>
      </w:pBdr>
      <w:tabs>
        <w:tab w:val="center" w:pos="4513"/>
        <w:tab w:val="right" w:pos="9026"/>
      </w:tabs>
      <w:spacing w:after="0" w:line="240" w:lineRule="auto"/>
      <w:rPr>
        <w:color w:val="000000"/>
        <w:sz w:val="16"/>
        <w:szCs w:val="16"/>
      </w:rPr>
    </w:pPr>
    <w:r>
      <w:rPr>
        <w:color w:val="000000"/>
        <w:sz w:val="16"/>
        <w:szCs w:val="16"/>
      </w:rPr>
      <w:t>© Crown Copyright 2020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7F1A" w:rsidRDefault="00AD7F1A">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46AAB" w:rsidRDefault="00E46AAB">
      <w:pPr>
        <w:spacing w:after="0" w:line="240" w:lineRule="auto"/>
      </w:pPr>
      <w:r>
        <w:separator/>
      </w:r>
    </w:p>
  </w:footnote>
  <w:footnote w:type="continuationSeparator" w:id="0">
    <w:p w:rsidR="00E46AAB" w:rsidRDefault="00E46AA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7F1A" w:rsidRDefault="00AD7F1A">
    <w:pPr>
      <w:pBdr>
        <w:top w:val="nil"/>
        <w:left w:val="nil"/>
        <w:bottom w:val="nil"/>
        <w:right w:val="nil"/>
        <w:between w:val="nil"/>
      </w:pBdr>
      <w:tabs>
        <w:tab w:val="center" w:pos="4513"/>
        <w:tab w:val="right" w:pos="9026"/>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7F1A" w:rsidRDefault="00AD7F1A">
    <w:pPr>
      <w:pBdr>
        <w:top w:val="nil"/>
        <w:left w:val="nil"/>
        <w:bottom w:val="nil"/>
        <w:right w:val="nil"/>
        <w:between w:val="nil"/>
      </w:pBdr>
      <w:tabs>
        <w:tab w:val="center" w:pos="4513"/>
        <w:tab w:val="right" w:pos="9026"/>
      </w:tabs>
      <w:spacing w:after="0" w:line="240" w:lineRule="auto"/>
      <w:jc w:val="right"/>
      <w:rPr>
        <w:color w:val="000000"/>
      </w:rPr>
    </w:pPr>
  </w:p>
  <w:p w:rsidR="00AD7F1A" w:rsidRDefault="00AD7F1A">
    <w:pPr>
      <w:pBdr>
        <w:top w:val="nil"/>
        <w:left w:val="nil"/>
        <w:bottom w:val="nil"/>
        <w:right w:val="nil"/>
        <w:between w:val="nil"/>
      </w:pBdr>
      <w:tabs>
        <w:tab w:val="center" w:pos="4513"/>
        <w:tab w:val="right" w:pos="9026"/>
      </w:tabs>
      <w:spacing w:after="0" w:line="240" w:lineRule="auto"/>
      <w:jc w:val="right"/>
      <w:rPr>
        <w:color w:val="000000"/>
      </w:rPr>
    </w:pPr>
  </w:p>
  <w:p w:rsidR="00AD7F1A" w:rsidRDefault="00136824">
    <w:pPr>
      <w:pBdr>
        <w:top w:val="nil"/>
        <w:left w:val="nil"/>
        <w:bottom w:val="nil"/>
        <w:right w:val="nil"/>
        <w:between w:val="nil"/>
      </w:pBdr>
      <w:tabs>
        <w:tab w:val="left" w:pos="6840"/>
      </w:tabs>
      <w:spacing w:after="0" w:line="240" w:lineRule="auto"/>
      <w:rPr>
        <w:color w:val="000000"/>
        <w:sz w:val="16"/>
        <w:szCs w:val="16"/>
      </w:rPr>
    </w:pPr>
    <w:r>
      <w:rPr>
        <w:color w:val="000000"/>
        <w:sz w:val="16"/>
        <w:szCs w:val="16"/>
      </w:rP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D7F1A" w:rsidRDefault="00AD7F1A">
    <w:pPr>
      <w:pBdr>
        <w:top w:val="nil"/>
        <w:left w:val="nil"/>
        <w:bottom w:val="nil"/>
        <w:right w:val="nil"/>
        <w:between w:val="nil"/>
      </w:pBdr>
      <w:tabs>
        <w:tab w:val="center" w:pos="4513"/>
        <w:tab w:val="right" w:pos="9026"/>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517EF6"/>
    <w:multiLevelType w:val="multilevel"/>
    <w:tmpl w:val="F1BAF6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5173771"/>
    <w:multiLevelType w:val="multilevel"/>
    <w:tmpl w:val="49025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52D1357"/>
    <w:multiLevelType w:val="multilevel"/>
    <w:tmpl w:val="32CE6FF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85B0745"/>
    <w:multiLevelType w:val="multilevel"/>
    <w:tmpl w:val="3F96B0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211C5F78"/>
    <w:multiLevelType w:val="multilevel"/>
    <w:tmpl w:val="AF96AD50"/>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3AE1281"/>
    <w:multiLevelType w:val="multilevel"/>
    <w:tmpl w:val="0520025E"/>
    <w:lvl w:ilvl="0">
      <w:start w:val="1"/>
      <w:numFmt w:val="bullet"/>
      <w:lvlText w:val="-"/>
      <w:lvlJc w:val="left"/>
      <w:pPr>
        <w:ind w:left="360" w:hanging="360"/>
      </w:pPr>
      <w:rPr>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6" w15:restartNumberingAfterBreak="0">
    <w:nsid w:val="25A26E88"/>
    <w:multiLevelType w:val="multilevel"/>
    <w:tmpl w:val="27BA7BBC"/>
    <w:lvl w:ilvl="0">
      <w:start w:val="1"/>
      <w:numFmt w:val="decimal"/>
      <w:lvlText w:val="2.%1."/>
      <w:lvlJc w:val="left"/>
      <w:pPr>
        <w:ind w:left="1571"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6611A56"/>
    <w:multiLevelType w:val="multilevel"/>
    <w:tmpl w:val="F20C3E3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3AA8763A"/>
    <w:multiLevelType w:val="multilevel"/>
    <w:tmpl w:val="CD48C392"/>
    <w:lvl w:ilvl="0">
      <w:start w:val="1"/>
      <w:numFmt w:val="bullet"/>
      <w:lvlText w:val="●"/>
      <w:lvlJc w:val="left"/>
      <w:pPr>
        <w:ind w:left="359" w:hanging="360"/>
      </w:pPr>
      <w:rPr>
        <w:rFonts w:ascii="Noto Sans Symbols" w:eastAsia="Noto Sans Symbols" w:hAnsi="Noto Sans Symbols" w:cs="Noto Sans Symbols"/>
      </w:rPr>
    </w:lvl>
    <w:lvl w:ilvl="1">
      <w:start w:val="1"/>
      <w:numFmt w:val="bullet"/>
      <w:lvlText w:val="o"/>
      <w:lvlJc w:val="left"/>
      <w:pPr>
        <w:ind w:left="1079" w:hanging="360"/>
      </w:pPr>
      <w:rPr>
        <w:rFonts w:ascii="Courier New" w:eastAsia="Courier New" w:hAnsi="Courier New" w:cs="Courier New"/>
      </w:rPr>
    </w:lvl>
    <w:lvl w:ilvl="2">
      <w:start w:val="1"/>
      <w:numFmt w:val="bullet"/>
      <w:lvlText w:val="▪"/>
      <w:lvlJc w:val="left"/>
      <w:pPr>
        <w:ind w:left="1799" w:hanging="360"/>
      </w:pPr>
      <w:rPr>
        <w:rFonts w:ascii="Noto Sans Symbols" w:eastAsia="Noto Sans Symbols" w:hAnsi="Noto Sans Symbols" w:cs="Noto Sans Symbols"/>
      </w:rPr>
    </w:lvl>
    <w:lvl w:ilvl="3">
      <w:start w:val="1"/>
      <w:numFmt w:val="bullet"/>
      <w:lvlText w:val="●"/>
      <w:lvlJc w:val="left"/>
      <w:pPr>
        <w:ind w:left="2519" w:hanging="360"/>
      </w:pPr>
      <w:rPr>
        <w:rFonts w:ascii="Noto Sans Symbols" w:eastAsia="Noto Sans Symbols" w:hAnsi="Noto Sans Symbols" w:cs="Noto Sans Symbols"/>
      </w:rPr>
    </w:lvl>
    <w:lvl w:ilvl="4">
      <w:start w:val="1"/>
      <w:numFmt w:val="bullet"/>
      <w:lvlText w:val="o"/>
      <w:lvlJc w:val="left"/>
      <w:pPr>
        <w:ind w:left="3239" w:hanging="360"/>
      </w:pPr>
      <w:rPr>
        <w:rFonts w:ascii="Courier New" w:eastAsia="Courier New" w:hAnsi="Courier New" w:cs="Courier New"/>
      </w:rPr>
    </w:lvl>
    <w:lvl w:ilvl="5">
      <w:start w:val="1"/>
      <w:numFmt w:val="bullet"/>
      <w:lvlText w:val="▪"/>
      <w:lvlJc w:val="left"/>
      <w:pPr>
        <w:ind w:left="3959" w:hanging="360"/>
      </w:pPr>
      <w:rPr>
        <w:rFonts w:ascii="Noto Sans Symbols" w:eastAsia="Noto Sans Symbols" w:hAnsi="Noto Sans Symbols" w:cs="Noto Sans Symbols"/>
      </w:rPr>
    </w:lvl>
    <w:lvl w:ilvl="6">
      <w:start w:val="1"/>
      <w:numFmt w:val="bullet"/>
      <w:lvlText w:val="●"/>
      <w:lvlJc w:val="left"/>
      <w:pPr>
        <w:ind w:left="4679" w:hanging="360"/>
      </w:pPr>
      <w:rPr>
        <w:rFonts w:ascii="Noto Sans Symbols" w:eastAsia="Noto Sans Symbols" w:hAnsi="Noto Sans Symbols" w:cs="Noto Sans Symbols"/>
      </w:rPr>
    </w:lvl>
    <w:lvl w:ilvl="7">
      <w:start w:val="1"/>
      <w:numFmt w:val="bullet"/>
      <w:lvlText w:val="o"/>
      <w:lvlJc w:val="left"/>
      <w:pPr>
        <w:ind w:left="5399" w:hanging="360"/>
      </w:pPr>
      <w:rPr>
        <w:rFonts w:ascii="Courier New" w:eastAsia="Courier New" w:hAnsi="Courier New" w:cs="Courier New"/>
      </w:rPr>
    </w:lvl>
    <w:lvl w:ilvl="8">
      <w:start w:val="1"/>
      <w:numFmt w:val="bullet"/>
      <w:lvlText w:val="▪"/>
      <w:lvlJc w:val="left"/>
      <w:pPr>
        <w:ind w:left="6119" w:hanging="360"/>
      </w:pPr>
      <w:rPr>
        <w:rFonts w:ascii="Noto Sans Symbols" w:eastAsia="Noto Sans Symbols" w:hAnsi="Noto Sans Symbols" w:cs="Noto Sans Symbols"/>
      </w:rPr>
    </w:lvl>
  </w:abstractNum>
  <w:abstractNum w:abstractNumId="9" w15:restartNumberingAfterBreak="0">
    <w:nsid w:val="3B6D0827"/>
    <w:multiLevelType w:val="multilevel"/>
    <w:tmpl w:val="FABC92D4"/>
    <w:lvl w:ilvl="0">
      <w:start w:val="1"/>
      <w:numFmt w:val="decimal"/>
      <w:lvlText w:val="3.%1."/>
      <w:lvlJc w:val="left"/>
      <w:pPr>
        <w:ind w:left="1571"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408B4EC4"/>
    <w:multiLevelType w:val="multilevel"/>
    <w:tmpl w:val="1A48963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4EB13308"/>
    <w:multiLevelType w:val="multilevel"/>
    <w:tmpl w:val="E1BEE6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51C53670"/>
    <w:multiLevelType w:val="multilevel"/>
    <w:tmpl w:val="6C1E4F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7E109FB"/>
    <w:multiLevelType w:val="multilevel"/>
    <w:tmpl w:val="26D6578E"/>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C62536A"/>
    <w:multiLevelType w:val="multilevel"/>
    <w:tmpl w:val="AC606B6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6AC26730"/>
    <w:multiLevelType w:val="multilevel"/>
    <w:tmpl w:val="C32AC2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6AC721D3"/>
    <w:multiLevelType w:val="multilevel"/>
    <w:tmpl w:val="8D741C6C"/>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abstractNumId w:val="1"/>
  </w:num>
  <w:num w:numId="2">
    <w:abstractNumId w:val="12"/>
  </w:num>
  <w:num w:numId="3">
    <w:abstractNumId w:val="2"/>
  </w:num>
  <w:num w:numId="4">
    <w:abstractNumId w:val="6"/>
  </w:num>
  <w:num w:numId="5">
    <w:abstractNumId w:val="9"/>
  </w:num>
  <w:num w:numId="6">
    <w:abstractNumId w:val="8"/>
  </w:num>
  <w:num w:numId="7">
    <w:abstractNumId w:val="4"/>
  </w:num>
  <w:num w:numId="8">
    <w:abstractNumId w:val="10"/>
  </w:num>
  <w:num w:numId="9">
    <w:abstractNumId w:val="14"/>
  </w:num>
  <w:num w:numId="10">
    <w:abstractNumId w:val="7"/>
  </w:num>
  <w:num w:numId="11">
    <w:abstractNumId w:val="3"/>
  </w:num>
  <w:num w:numId="12">
    <w:abstractNumId w:val="16"/>
  </w:num>
  <w:num w:numId="13">
    <w:abstractNumId w:val="15"/>
  </w:num>
  <w:num w:numId="14">
    <w:abstractNumId w:val="5"/>
  </w:num>
  <w:num w:numId="15">
    <w:abstractNumId w:val="0"/>
  </w:num>
  <w:num w:numId="16">
    <w:abstractNumId w:val="11"/>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7F1A"/>
    <w:rsid w:val="00136824"/>
    <w:rsid w:val="009F4644"/>
    <w:rsid w:val="00AD7F1A"/>
    <w:rsid w:val="00CA63F8"/>
    <w:rsid w:val="00E46AA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39EEEDB-98FE-43B8-9BE6-3E49B8C144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Arial" w:hAnsi="Arial" w:cs="Arial"/>
        <w:sz w:val="24"/>
        <w:szCs w:val="24"/>
        <w:lang w:val="en-GB" w:eastAsia="en-GB"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0"/>
      <w:outlineLvl w:val="0"/>
    </w:pPr>
    <w:rPr>
      <w:color w:val="0070C0"/>
      <w:sz w:val="28"/>
      <w:szCs w:val="28"/>
    </w:rPr>
  </w:style>
  <w:style w:type="paragraph" w:styleId="Heading2">
    <w:name w:val="heading 2"/>
    <w:basedOn w:val="Normal"/>
    <w:next w:val="Normal"/>
    <w:uiPriority w:val="9"/>
    <w:unhideWhenUsed/>
    <w:qFormat/>
    <w:pPr>
      <w:spacing w:before="160"/>
      <w:ind w:left="1709" w:hanging="432"/>
      <w:outlineLvl w:val="1"/>
    </w:pPr>
    <w:rPr>
      <w:color w:val="0070C0"/>
    </w:rPr>
  </w:style>
  <w:style w:type="paragraph" w:styleId="Heading3">
    <w:name w:val="heading 3"/>
    <w:basedOn w:val="Normal"/>
    <w:next w:val="Normal"/>
    <w:uiPriority w:val="9"/>
    <w:semiHidden/>
    <w:unhideWhenUsed/>
    <w:qFormat/>
    <w:pPr>
      <w:keepNext/>
      <w:keepLines/>
      <w:spacing w:before="40" w:after="0"/>
      <w:outlineLvl w:val="2"/>
    </w:pPr>
    <w:rPr>
      <w:rFonts w:ascii="Calibri" w:eastAsia="Calibri" w:hAnsi="Calibri" w:cs="Calibri"/>
      <w:color w:val="1E4D7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after="0" w:line="240" w:lineRule="auto"/>
    </w:pPr>
    <w:rPr>
      <w:color w:val="0070C0"/>
      <w:sz w:val="56"/>
      <w:szCs w:val="56"/>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B130B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130B0"/>
    <w:rPr>
      <w:rFonts w:ascii="Segoe UI" w:hAnsi="Segoe UI" w:cs="Segoe UI"/>
      <w:sz w:val="18"/>
      <w:szCs w:val="18"/>
    </w:rPr>
  </w:style>
  <w:style w:type="paragraph" w:styleId="Header">
    <w:name w:val="header"/>
    <w:basedOn w:val="Normal"/>
    <w:link w:val="HeaderChar"/>
    <w:uiPriority w:val="99"/>
    <w:unhideWhenUsed/>
    <w:rsid w:val="00DE30D4"/>
    <w:pPr>
      <w:tabs>
        <w:tab w:val="center" w:pos="4513"/>
        <w:tab w:val="right" w:pos="9026"/>
      </w:tabs>
      <w:spacing w:after="0" w:line="240" w:lineRule="auto"/>
    </w:pPr>
  </w:style>
  <w:style w:type="character" w:customStyle="1" w:styleId="HeaderChar">
    <w:name w:val="Header Char"/>
    <w:basedOn w:val="DefaultParagraphFont"/>
    <w:link w:val="Header"/>
    <w:uiPriority w:val="99"/>
    <w:rsid w:val="00DE30D4"/>
  </w:style>
  <w:style w:type="paragraph" w:styleId="Footer">
    <w:name w:val="footer"/>
    <w:basedOn w:val="Normal"/>
    <w:link w:val="FooterChar"/>
    <w:uiPriority w:val="99"/>
    <w:unhideWhenUsed/>
    <w:rsid w:val="00DE30D4"/>
    <w:pPr>
      <w:tabs>
        <w:tab w:val="center" w:pos="4513"/>
        <w:tab w:val="right" w:pos="9026"/>
      </w:tabs>
      <w:spacing w:after="0" w:line="240" w:lineRule="auto"/>
    </w:pPr>
  </w:style>
  <w:style w:type="character" w:customStyle="1" w:styleId="FooterChar">
    <w:name w:val="Footer Char"/>
    <w:basedOn w:val="DefaultParagraphFont"/>
    <w:link w:val="Footer"/>
    <w:uiPriority w:val="99"/>
    <w:rsid w:val="00DE30D4"/>
  </w:style>
  <w:style w:type="paragraph" w:styleId="ListParagraph">
    <w:name w:val="List Paragraph"/>
    <w:basedOn w:val="Normal"/>
    <w:uiPriority w:val="34"/>
    <w:qFormat/>
    <w:rsid w:val="00EE35E3"/>
    <w:pPr>
      <w:ind w:left="720"/>
      <w:contextualSpacing/>
    </w:pPr>
  </w:style>
  <w:style w:type="paragraph" w:styleId="CommentSubject">
    <w:name w:val="annotation subject"/>
    <w:basedOn w:val="CommentText"/>
    <w:next w:val="CommentText"/>
    <w:link w:val="CommentSubjectChar"/>
    <w:uiPriority w:val="99"/>
    <w:semiHidden/>
    <w:unhideWhenUsed/>
    <w:rsid w:val="0072422B"/>
    <w:rPr>
      <w:b/>
      <w:bCs/>
    </w:rPr>
  </w:style>
  <w:style w:type="character" w:customStyle="1" w:styleId="CommentSubjectChar">
    <w:name w:val="Comment Subject Char"/>
    <w:basedOn w:val="CommentTextChar"/>
    <w:link w:val="CommentSubject"/>
    <w:uiPriority w:val="99"/>
    <w:semiHidden/>
    <w:rsid w:val="0072422B"/>
    <w:rPr>
      <w:b/>
      <w:bCs/>
      <w:sz w:val="20"/>
      <w:szCs w:val="20"/>
    </w:rPr>
  </w:style>
  <w:style w:type="table" w:styleId="TableGrid">
    <w:name w:val="Table Grid"/>
    <w:basedOn w:val="TableNormal"/>
    <w:uiPriority w:val="39"/>
    <w:rsid w:val="00DB157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C0A92"/>
    <w:rPr>
      <w:color w:val="0000FF" w:themeColor="hyperlink"/>
      <w:u w:val="single"/>
    </w:rPr>
  </w:style>
  <w:style w:type="paragraph" w:styleId="TOC1">
    <w:name w:val="toc 1"/>
    <w:basedOn w:val="Normal"/>
    <w:next w:val="Normal"/>
    <w:autoRedefine/>
    <w:uiPriority w:val="39"/>
    <w:unhideWhenUsed/>
    <w:rsid w:val="00575F1F"/>
    <w:pPr>
      <w:spacing w:after="100"/>
    </w:pPr>
  </w:style>
  <w:style w:type="paragraph" w:styleId="TOC2">
    <w:name w:val="toc 2"/>
    <w:basedOn w:val="Normal"/>
    <w:next w:val="Normal"/>
    <w:autoRedefine/>
    <w:uiPriority w:val="39"/>
    <w:unhideWhenUsed/>
    <w:rsid w:val="00A6022E"/>
    <w:pPr>
      <w:tabs>
        <w:tab w:val="left" w:pos="426"/>
        <w:tab w:val="right" w:leader="dot" w:pos="9350"/>
      </w:tabs>
      <w:spacing w:after="100"/>
    </w:pPr>
  </w:style>
  <w:style w:type="character" w:styleId="FollowedHyperlink">
    <w:name w:val="FollowedHyperlink"/>
    <w:basedOn w:val="DefaultParagraphFont"/>
    <w:uiPriority w:val="99"/>
    <w:semiHidden/>
    <w:unhideWhenUsed/>
    <w:rsid w:val="00CB428F"/>
    <w:rPr>
      <w:color w:val="800080" w:themeColor="followedHyperlink"/>
      <w:u w:val="single"/>
    </w:rPr>
  </w:style>
  <w:style w:type="paragraph" w:styleId="Revision">
    <w:name w:val="Revision"/>
    <w:hidden/>
    <w:uiPriority w:val="99"/>
    <w:semiHidden/>
    <w:rsid w:val="00B57CAF"/>
    <w:pPr>
      <w:spacing w:after="0" w:line="240" w:lineRule="auto"/>
    </w:pPr>
  </w:style>
  <w:style w:type="table" w:customStyle="1" w:styleId="a7">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8">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9">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a">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b">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c">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d">
    <w:basedOn w:val="TableNormal"/>
    <w:pPr>
      <w:spacing w:line="240" w:lineRule="auto"/>
    </w:pPr>
    <w:tblPr>
      <w:tblStyleRowBandSize w:val="1"/>
      <w:tblStyleColBandSize w:val="1"/>
      <w:tblCellMar>
        <w:top w:w="15" w:type="dxa"/>
        <w:left w:w="15" w:type="dxa"/>
        <w:bottom w:w="15" w:type="dxa"/>
        <w:right w:w="15" w:type="dxa"/>
      </w:tblCellMar>
    </w:tblPr>
  </w:style>
  <w:style w:type="paragraph" w:styleId="NormalWeb">
    <w:name w:val="Normal (Web)"/>
    <w:basedOn w:val="Normal"/>
    <w:uiPriority w:val="99"/>
    <w:unhideWhenUsed/>
    <w:rsid w:val="008D0781"/>
    <w:pPr>
      <w:spacing w:before="100" w:beforeAutospacing="1" w:after="100" w:afterAutospacing="1" w:line="240" w:lineRule="auto"/>
    </w:pPr>
    <w:rPr>
      <w:rFonts w:ascii="Times New Roman" w:eastAsia="Times New Roman" w:hAnsi="Times New Roman" w:cs="Times New Roman"/>
    </w:rPr>
  </w:style>
  <w:style w:type="character" w:customStyle="1" w:styleId="m-793356195490757591normaltextrun">
    <w:name w:val="m_-793356195490757591normaltextrun"/>
    <w:basedOn w:val="DefaultParagraphFont"/>
    <w:rsid w:val="00A5420F"/>
  </w:style>
  <w:style w:type="character" w:styleId="UnresolvedMention">
    <w:name w:val="Unresolved Mention"/>
    <w:basedOn w:val="DefaultParagraphFont"/>
    <w:uiPriority w:val="99"/>
    <w:semiHidden/>
    <w:unhideWhenUsed/>
    <w:rsid w:val="009854E8"/>
    <w:rPr>
      <w:color w:val="605E5C"/>
      <w:shd w:val="clear" w:color="auto" w:fill="E1DFDD"/>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e">
    <w:basedOn w:val="TableNormal"/>
    <w:pPr>
      <w:spacing w:after="0" w:line="240" w:lineRule="auto"/>
    </w:pPr>
    <w:tblPr>
      <w:tblStyleRowBandSize w:val="1"/>
      <w:tblStyleColBandSize w:val="1"/>
      <w:tblCellMar>
        <w:top w:w="15" w:type="dxa"/>
        <w:left w:w="15" w:type="dxa"/>
        <w:bottom w:w="15" w:type="dxa"/>
        <w:right w:w="15" w:type="dxa"/>
      </w:tblCellMar>
    </w:tblPr>
  </w:style>
  <w:style w:type="table" w:customStyle="1" w:styleId="af">
    <w:basedOn w:val="TableNormal"/>
    <w:pPr>
      <w:spacing w:line="240" w:lineRule="auto"/>
    </w:pPr>
    <w:tblPr>
      <w:tblStyleRowBandSize w:val="1"/>
      <w:tblStyleColBandSize w:val="1"/>
      <w:tblCellMar>
        <w:top w:w="15" w:type="dxa"/>
        <w:left w:w="15" w:type="dxa"/>
        <w:bottom w:w="15" w:type="dxa"/>
        <w:right w:w="15" w:type="dxa"/>
      </w:tblCellMar>
    </w:tblPr>
  </w:style>
  <w:style w:type="table" w:customStyle="1" w:styleId="af0">
    <w:basedOn w:val="TableNormal"/>
    <w:pPr>
      <w:spacing w:after="0" w:line="240" w:lineRule="auto"/>
    </w:pPr>
    <w:tblPr>
      <w:tblStyleRowBandSize w:val="1"/>
      <w:tblStyleColBandSize w:val="1"/>
    </w:tblPr>
  </w:style>
  <w:style w:type="table" w:customStyle="1" w:styleId="af1">
    <w:basedOn w:val="TableNormal"/>
    <w:pPr>
      <w:spacing w:after="0" w:line="240" w:lineRule="auto"/>
    </w:pPr>
    <w:tblPr>
      <w:tblStyleRowBandSize w:val="1"/>
      <w:tblStyleColBandSize w:val="1"/>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top w:w="15" w:type="dxa"/>
        <w:left w:w="15" w:type="dxa"/>
        <w:bottom w:w="15" w:type="dxa"/>
        <w:right w:w="15" w:type="dxa"/>
      </w:tblCellMar>
    </w:tblPr>
  </w:style>
  <w:style w:type="table" w:customStyle="1" w:styleId="af4">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ncsc.gov.uk/collection/cyber-assessment-framework" TargetMode="External"/><Relationship Id="rId18" Type="http://schemas.openxmlformats.org/officeDocument/2006/relationships/hyperlink" Target="https://www.ncsc.gov.uk/files/cra-buyers-guide-sample-letter.pdf" TargetMode="External"/><Relationship Id="rId26" Type="http://schemas.openxmlformats.org/officeDocument/2006/relationships/header" Target="header3.xml"/><Relationship Id="rId3" Type="http://schemas.openxmlformats.org/officeDocument/2006/relationships/styles" Target="styles.xml"/><Relationship Id="rId21" Type="http://schemas.openxmlformats.org/officeDocument/2006/relationships/hyperlink" Target="https://www.gov.uk/government/publications/social-value-act-introductory-guide" TargetMode="External"/><Relationship Id="rId7" Type="http://schemas.openxmlformats.org/officeDocument/2006/relationships/endnotes" Target="endnotes.xml"/><Relationship Id="rId12" Type="http://schemas.openxmlformats.org/officeDocument/2006/relationships/hyperlink" Target="https://www.ncsc.gov.uk/information/ncsc-certified-cyber-security-consultancy" TargetMode="External"/><Relationship Id="rId17" Type="http://schemas.openxmlformats.org/officeDocument/2006/relationships/hyperlink" Target="https://www.ncsc.gov.uk/schemes/cyber-resilience-audit" TargetMode="External"/><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s://eur03.safelinks.protection.outlook.com/?url=https%3A%2F%2Fiasme.co.uk%2Fcyber-essentials%2F&amp;data=05%7C02%7CCRA%40ncsc.gov.uk%7Cdce6d31a26a84c8d9c0c08dcc6a0a916%7C14aa5744ece1474ea2d734f46dda64a1%7C0%7C0%7C638603640539785355%7CUnknown%7CTWFpbGZsb3d8eyJWIjoiMC4wLjAwMDAiLCJQIjoiV2luMzIiLCJBTiI6Ik1haWwiLCJXVCI6Mn0%3D%7C0%7C%7C%7C&amp;sdata=puuW0BCYSSdfT302mpXLPSlOd1CYyotjiY5i9V7dcV8%3D&amp;reserved=0" TargetMode="External"/><Relationship Id="rId20" Type="http://schemas.openxmlformats.org/officeDocument/2006/relationships/hyperlink" Target="http://www.hse.gov.uk/waste/waste-electrical.htm"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legislation.gov.uk/uksi/2015/102/contents/made" TargetMode="External"/><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eur03.safelinks.protection.outlook.com/?url=https%3A%2F%2Fwww.ciisec.org%2Fchartering%2F&amp;data=05%7C02%7CCRA%40ncsc.gov.uk%7Cdce6d31a26a84c8d9c0c08dcc6a0a916%7C14aa5744ece1474ea2d734f46dda64a1%7C0%7C0%7C638603640539777163%7CUnknown%7CTWFpbGZsb3d8eyJWIjoiMC4wLjAwMDAiLCJQIjoiV2luMzIiLCJBTiI6Ik1haWwiLCJXVCI6Mn0%3D%7C0%7C%7C%7C&amp;sdata=%2BxquR43pIlrpE1MaxfK4%2BpY0fFF5J6WP758E2G6Q1q4%3D&amp;reserved=0" TargetMode="External"/><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www.gov.uk/government/publications/security-policy-framework" TargetMode="Externa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hyperlink" Target="https://eur03.safelinks.protection.outlook.com/?url=https%3A%2F%2Fwww.ukcybersecuritycouncil.org.uk%2Fprofessional-standards%2F&amp;data=05%7C02%7CCRA%40ncsc.gov.uk%7Cdce6d31a26a84c8d9c0c08dcc6a0a916%7C14aa5744ece1474ea2d734f46dda64a1%7C0%7C0%7C638603640539765920%7CUnknown%7CTWFpbGZsb3d8eyJWIjoiMC4wLjAwMDAiLCJQIjoiV2luMzIiLCJBTiI6Ik1haWwiLCJXVCI6Mn0%3D%7C0%7C%7C%7C&amp;sdata=DxcNd3oj8oSYeikinNKUA0DT3dZam1%2BtjcJ1dt7IfAE%3D&amp;reserved=0" TargetMode="External"/><Relationship Id="rId22" Type="http://schemas.openxmlformats.org/officeDocument/2006/relationships/header" Target="header1.xml"/><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WtxGr9+I/kPBC4W03lj6N4bradw==">CgMxLjAyCGguZ2pkZ3hzMg5oLjRhajc1d3VqMTVhaTIOaC4xNHF2c3g4Z2ZueDAyDmguZjI0cHc5MnpsM2o5Mg5oLjlmMDlzcW00djRoaTIOaC5ibTZwcDZhcjN2NXkyCWguMzBqMHpsbDIOaC5pMHFibDRnZ3R1bWEyDmgua2swaHJheDRkODNlMg5oLnJycDZsdXh5bHQ0OTIOaC5lb2djMHF1djFyNzgyDmguZ3l4OXhrbmFrbmRrMg5oLjNsYWFqaXk2bGd0bTgAciExZ2FVRGh6SzJrTXhsb3YzT1hUcjcyQUtGLXEyX21ZMj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20</Pages>
  <Words>4842</Words>
  <Characters>27602</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Dominique Volante</dc:creator>
  <cp:lastModifiedBy>Rebecca Gray</cp:lastModifiedBy>
  <cp:revision>3</cp:revision>
  <dcterms:created xsi:type="dcterms:W3CDTF">2025-08-04T09:13:00Z</dcterms:created>
  <dcterms:modified xsi:type="dcterms:W3CDTF">2025-08-04T09:52:00Z</dcterms:modified>
</cp:coreProperties>
</file>